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1ED07" w14:textId="77777777" w:rsidR="00830EE5" w:rsidRPr="004B0DA9" w:rsidRDefault="00830EE5" w:rsidP="00830EE5">
      <w:pPr>
        <w:jc w:val="center"/>
        <w:rPr>
          <w:rFonts w:asciiTheme="minorHAnsi" w:hAnsiTheme="minorHAnsi"/>
          <w:b/>
          <w:color w:val="003366"/>
          <w:sz w:val="36"/>
          <w:szCs w:val="36"/>
        </w:rPr>
      </w:pPr>
      <w:r w:rsidRPr="004B0DA9">
        <w:rPr>
          <w:rFonts w:asciiTheme="minorHAnsi" w:hAnsiTheme="minorHAnsi"/>
          <w:b/>
          <w:noProof/>
          <w:color w:val="003366"/>
          <w:sz w:val="36"/>
          <w:szCs w:val="36"/>
          <w:lang w:val="en-CA" w:eastAsia="en-CA"/>
        </w:rPr>
        <w:drawing>
          <wp:inline distT="0" distB="0" distL="0" distR="0" wp14:anchorId="6F8C7E7C" wp14:editId="7BDD3F4C">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7" cstate="print"/>
                    <a:stretch>
                      <a:fillRect/>
                    </a:stretch>
                  </pic:blipFill>
                  <pic:spPr>
                    <a:xfrm>
                      <a:off x="0" y="0"/>
                      <a:ext cx="3112008" cy="329184"/>
                    </a:xfrm>
                    <a:prstGeom prst="rect">
                      <a:avLst/>
                    </a:prstGeom>
                  </pic:spPr>
                </pic:pic>
              </a:graphicData>
            </a:graphic>
          </wp:inline>
        </w:drawing>
      </w:r>
    </w:p>
    <w:p w14:paraId="713F1D80" w14:textId="77777777" w:rsidR="00830EE5" w:rsidRPr="004B0DA9" w:rsidRDefault="00830EE5" w:rsidP="007600D0">
      <w:pPr>
        <w:jc w:val="center"/>
        <w:rPr>
          <w:rFonts w:asciiTheme="minorHAnsi" w:hAnsiTheme="minorHAnsi"/>
          <w:b/>
          <w:color w:val="003366"/>
          <w:sz w:val="36"/>
          <w:szCs w:val="36"/>
        </w:rPr>
      </w:pPr>
    </w:p>
    <w:p w14:paraId="1D5BB049" w14:textId="77777777" w:rsidR="009B67DA" w:rsidRPr="004B0DA9" w:rsidRDefault="00160EE4" w:rsidP="007600D0">
      <w:pPr>
        <w:jc w:val="center"/>
        <w:rPr>
          <w:rFonts w:asciiTheme="minorHAnsi" w:hAnsiTheme="minorHAnsi"/>
          <w:b/>
          <w:color w:val="003366"/>
          <w:sz w:val="36"/>
          <w:szCs w:val="36"/>
        </w:rPr>
      </w:pPr>
      <w:r w:rsidRPr="004B0DA9">
        <w:rPr>
          <w:rFonts w:asciiTheme="minorHAnsi" w:hAnsiTheme="minorHAnsi"/>
          <w:b/>
          <w:color w:val="003366"/>
          <w:sz w:val="36"/>
          <w:szCs w:val="36"/>
        </w:rPr>
        <w:t>Gap Analysis</w:t>
      </w:r>
      <w:r w:rsidR="00C828FE">
        <w:rPr>
          <w:rFonts w:asciiTheme="minorHAnsi" w:hAnsiTheme="minorHAnsi"/>
          <w:b/>
          <w:color w:val="003366"/>
          <w:sz w:val="36"/>
          <w:szCs w:val="36"/>
        </w:rPr>
        <w:t xml:space="preserve">: </w:t>
      </w:r>
    </w:p>
    <w:p w14:paraId="6186B2DD" w14:textId="77777777" w:rsidR="001F1E41" w:rsidRPr="00C828FE" w:rsidRDefault="009B67DA" w:rsidP="007600D0">
      <w:pPr>
        <w:jc w:val="center"/>
        <w:rPr>
          <w:rFonts w:asciiTheme="minorHAnsi" w:hAnsiTheme="minorHAnsi"/>
          <w:b/>
          <w:i/>
          <w:color w:val="003366"/>
          <w:sz w:val="36"/>
          <w:szCs w:val="36"/>
        </w:rPr>
      </w:pPr>
      <w:r w:rsidRPr="00C828FE">
        <w:rPr>
          <w:rFonts w:asciiTheme="minorHAnsi" w:hAnsiTheme="minorHAnsi"/>
          <w:b/>
          <w:i/>
          <w:color w:val="003366"/>
          <w:sz w:val="36"/>
          <w:szCs w:val="36"/>
        </w:rPr>
        <w:t xml:space="preserve">Promoting </w:t>
      </w:r>
      <w:r w:rsidR="00C828FE" w:rsidRPr="00C828FE">
        <w:rPr>
          <w:rFonts w:asciiTheme="minorHAnsi" w:hAnsiTheme="minorHAnsi"/>
          <w:b/>
          <w:i/>
          <w:color w:val="003366"/>
          <w:sz w:val="36"/>
          <w:szCs w:val="36"/>
        </w:rPr>
        <w:t xml:space="preserve">Safety: Alternative Approaches to the Use of Restraints, February </w:t>
      </w:r>
      <w:r w:rsidRPr="00C828FE">
        <w:rPr>
          <w:rFonts w:asciiTheme="minorHAnsi" w:hAnsiTheme="minorHAnsi"/>
          <w:b/>
          <w:i/>
          <w:color w:val="003366"/>
          <w:sz w:val="36"/>
          <w:szCs w:val="36"/>
        </w:rPr>
        <w:t>2012</w:t>
      </w:r>
    </w:p>
    <w:p w14:paraId="0788BA08" w14:textId="77777777" w:rsidR="001F1E41" w:rsidRPr="004B0DA9" w:rsidRDefault="001F1E41" w:rsidP="001F1E41">
      <w:pPr>
        <w:jc w:val="center"/>
        <w:rPr>
          <w:rFonts w:asciiTheme="minorHAnsi" w:hAnsiTheme="minorHAnsi"/>
          <w:b/>
          <w:color w:val="003366"/>
          <w:sz w:val="36"/>
          <w:szCs w:val="36"/>
        </w:rPr>
      </w:pPr>
      <w:r w:rsidRPr="004B0DA9">
        <w:rPr>
          <w:rFonts w:asciiTheme="minorHAnsi" w:hAnsiTheme="minorHAnsi"/>
          <w:b/>
          <w:color w:val="003366"/>
          <w:sz w:val="36"/>
          <w:szCs w:val="36"/>
        </w:rPr>
        <w:t>Work Sheet</w:t>
      </w:r>
    </w:p>
    <w:p w14:paraId="23556E0B" w14:textId="77777777" w:rsidR="00E82AEE" w:rsidRPr="004B0DA9" w:rsidRDefault="00E82AEE" w:rsidP="00796EE6">
      <w:pPr>
        <w:jc w:val="center"/>
        <w:rPr>
          <w:rFonts w:asciiTheme="minorHAnsi" w:hAnsiTheme="minorHAnsi"/>
          <w:b/>
          <w:color w:val="003366"/>
        </w:rPr>
      </w:pPr>
    </w:p>
    <w:p w14:paraId="1F6B6B1F" w14:textId="77777777" w:rsidR="0030475F" w:rsidRDefault="009B67DA" w:rsidP="00796EE6">
      <w:pPr>
        <w:jc w:val="center"/>
        <w:rPr>
          <w:rFonts w:asciiTheme="minorHAnsi" w:hAnsiTheme="minorHAnsi"/>
          <w:b/>
          <w:color w:val="003366"/>
          <w:sz w:val="36"/>
          <w:szCs w:val="36"/>
        </w:rPr>
      </w:pPr>
      <w:r w:rsidRPr="004B0DA9">
        <w:rPr>
          <w:rFonts w:asciiTheme="minorHAnsi" w:hAnsiTheme="minorHAnsi"/>
          <w:b/>
          <w:noProof/>
          <w:color w:val="003366"/>
          <w:sz w:val="36"/>
          <w:szCs w:val="36"/>
          <w:lang w:val="en-CA" w:eastAsia="en-CA"/>
        </w:rPr>
        <w:drawing>
          <wp:inline distT="0" distB="0" distL="0" distR="0" wp14:anchorId="71D2484F" wp14:editId="2B2CE8B9">
            <wp:extent cx="2825638" cy="3657600"/>
            <wp:effectExtent l="171450" t="133350" r="355712" b="304800"/>
            <wp:docPr id="2" name="Picture 1" descr="Promoting_Safety_-_Alternative_Approaches_to_the_Use_of_Restraints_0_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_Safety_-_Alternative_Approaches_to_the_Use_of_Restraints_0_Page_001.jpg"/>
                    <pic:cNvPicPr/>
                  </pic:nvPicPr>
                  <pic:blipFill>
                    <a:blip r:embed="rId8" cstate="print"/>
                    <a:stretch>
                      <a:fillRect/>
                    </a:stretch>
                  </pic:blipFill>
                  <pic:spPr>
                    <a:xfrm>
                      <a:off x="0" y="0"/>
                      <a:ext cx="2825638"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F956E8" w14:textId="77777777" w:rsidR="000A3E49" w:rsidRDefault="000A3E49" w:rsidP="000A3E49">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5687E988" w14:textId="77777777" w:rsidR="000A3E49" w:rsidRPr="000A3E49" w:rsidRDefault="00000000" w:rsidP="000A3E49">
      <w:pPr>
        <w:jc w:val="center"/>
        <w:rPr>
          <w:rFonts w:asciiTheme="minorHAnsi" w:hAnsiTheme="minorHAnsi"/>
          <w:color w:val="003366"/>
          <w:szCs w:val="4"/>
        </w:rPr>
      </w:pPr>
      <w:hyperlink r:id="rId9" w:history="1">
        <w:r w:rsidR="000A3E49" w:rsidRPr="000A3E49">
          <w:rPr>
            <w:rStyle w:val="Hyperlink"/>
            <w:rFonts w:asciiTheme="minorHAnsi" w:hAnsiTheme="minorHAnsi"/>
          </w:rPr>
          <w:t>http://rnao.ca/bpg/guidelines/promoting-safety-alternative-approaches-use-restraints</w:t>
        </w:r>
      </w:hyperlink>
      <w:r w:rsidR="000A3E49" w:rsidRPr="000A3E49">
        <w:rPr>
          <w:rFonts w:asciiTheme="minorHAnsi" w:hAnsiTheme="minorHAnsi"/>
          <w:color w:val="003366"/>
          <w:szCs w:val="4"/>
        </w:rPr>
        <w:t xml:space="preserve"> </w:t>
      </w:r>
    </w:p>
    <w:p w14:paraId="3716EBEF" w14:textId="77777777" w:rsidR="000A3E49" w:rsidRDefault="000A3E49" w:rsidP="000A3E49">
      <w:pPr>
        <w:jc w:val="center"/>
        <w:rPr>
          <w:rFonts w:asciiTheme="minorHAnsi" w:hAnsiTheme="minorHAnsi"/>
          <w:color w:val="003366"/>
          <w:szCs w:val="4"/>
        </w:rPr>
      </w:pPr>
    </w:p>
    <w:p w14:paraId="33A8FAF0" w14:textId="77777777" w:rsidR="000B1632" w:rsidRDefault="000B1632" w:rsidP="000B1632">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74AF8D85" w14:textId="77777777" w:rsidR="000B1632" w:rsidRDefault="00000000" w:rsidP="000B1632">
      <w:pPr>
        <w:jc w:val="center"/>
        <w:rPr>
          <w:rFonts w:ascii="Calibri" w:hAnsi="Calibri"/>
          <w:color w:val="003366"/>
          <w:szCs w:val="4"/>
        </w:rPr>
      </w:pPr>
      <w:hyperlink r:id="rId10" w:history="1">
        <w:r w:rsidR="000B1632" w:rsidRPr="00EF4505">
          <w:rPr>
            <w:rStyle w:val="Hyperlink"/>
            <w:rFonts w:ascii="Calibri" w:hAnsi="Calibri"/>
            <w:szCs w:val="4"/>
          </w:rPr>
          <w:t>https://rnao.ca/leading-change-toolkit</w:t>
        </w:r>
      </w:hyperlink>
    </w:p>
    <w:p w14:paraId="679DF8B1" w14:textId="77777777" w:rsidR="00796EE6" w:rsidRPr="004B0DA9" w:rsidRDefault="00796EE6" w:rsidP="00160EE4">
      <w:pPr>
        <w:jc w:val="center"/>
        <w:rPr>
          <w:rFonts w:asciiTheme="minorHAnsi" w:hAnsiTheme="minorHAnsi"/>
          <w:b/>
          <w:color w:val="003366"/>
          <w:sz w:val="4"/>
          <w:szCs w:val="4"/>
        </w:rPr>
        <w:sectPr w:rsidR="00796EE6" w:rsidRPr="004B0DA9" w:rsidSect="003979FA">
          <w:headerReference w:type="default" r:id="rId11"/>
          <w:footerReference w:type="default" r:id="rId12"/>
          <w:pgSz w:w="12240" w:h="15840" w:code="1"/>
          <w:pgMar w:top="144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bookmarkStart w:id="0" w:name="_MON_1438764607"/>
    <w:bookmarkEnd w:id="0"/>
    <w:p w14:paraId="325A98BC" w14:textId="2DDC3370" w:rsidR="004B0DA9" w:rsidRDefault="00EE0CFE">
      <w:pPr>
        <w:rPr>
          <w:rFonts w:asciiTheme="minorHAnsi" w:hAnsiTheme="minorHAnsi"/>
          <w:b/>
          <w:color w:val="003366"/>
          <w:sz w:val="8"/>
          <w:szCs w:val="4"/>
        </w:rPr>
      </w:pPr>
      <w:r w:rsidRPr="009E7515">
        <w:rPr>
          <w:b/>
          <w:color w:val="003366"/>
          <w:sz w:val="16"/>
          <w:szCs w:val="4"/>
        </w:rPr>
        <w:object w:dxaOrig="10087" w:dyaOrig="14355" w14:anchorId="74E8D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4.35pt;height:717.75pt" o:ole="">
            <v:imagedata r:id="rId13" o:title=""/>
          </v:shape>
          <o:OLEObject Type="Embed" ProgID="Word.Document.12" ShapeID="_x0000_i1028" DrawAspect="Content" ObjectID="_1720266426" r:id="rId14">
            <o:FieldCodes>\s</o:FieldCodes>
          </o:OLEObject>
        </w:object>
      </w:r>
      <w:r w:rsidR="004B0DA9">
        <w:rPr>
          <w:rFonts w:asciiTheme="minorHAnsi" w:hAnsiTheme="minorHAnsi"/>
          <w:b/>
          <w:color w:val="003366"/>
          <w:sz w:val="8"/>
          <w:szCs w:val="4"/>
        </w:rPr>
        <w:br w:type="page"/>
      </w:r>
    </w:p>
    <w:p w14:paraId="58A2367E" w14:textId="77777777" w:rsidR="00160EE4" w:rsidRPr="004B0DA9" w:rsidRDefault="00160EE4" w:rsidP="00160EE4">
      <w:pPr>
        <w:jc w:val="center"/>
        <w:rPr>
          <w:rFonts w:asciiTheme="minorHAnsi" w:hAnsiTheme="minorHAnsi"/>
          <w:b/>
          <w:color w:val="003366"/>
          <w:sz w:val="8"/>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4B0DA9" w14:paraId="5C54D59A" w14:textId="77777777" w:rsidTr="00B9727C">
        <w:trPr>
          <w:jc w:val="center"/>
        </w:trPr>
        <w:tc>
          <w:tcPr>
            <w:tcW w:w="2160" w:type="dxa"/>
            <w:gridSpan w:val="2"/>
            <w:shd w:val="clear" w:color="auto" w:fill="B6DDE8" w:themeFill="accent5" w:themeFillTint="66"/>
          </w:tcPr>
          <w:p w14:paraId="62116393" w14:textId="77777777" w:rsidR="00995B62" w:rsidRPr="004B0DA9" w:rsidRDefault="00995B62" w:rsidP="00EF28F6">
            <w:pPr>
              <w:pStyle w:val="headnote-e"/>
              <w:rPr>
                <w:rFonts w:asciiTheme="minorHAnsi" w:hAnsiTheme="minorHAnsi"/>
              </w:rPr>
            </w:pPr>
            <w:r w:rsidRPr="004B0DA9">
              <w:rPr>
                <w:rFonts w:asciiTheme="minorHAnsi" w:hAnsiTheme="minorHAnsi"/>
              </w:rPr>
              <w:t>Date Completed:</w:t>
            </w:r>
          </w:p>
        </w:tc>
        <w:tc>
          <w:tcPr>
            <w:tcW w:w="7758" w:type="dxa"/>
            <w:gridSpan w:val="3"/>
            <w:tcBorders>
              <w:bottom w:val="single" w:sz="4" w:space="0" w:color="auto"/>
            </w:tcBorders>
            <w:vAlign w:val="bottom"/>
          </w:tcPr>
          <w:p w14:paraId="5025FC82" w14:textId="77777777" w:rsidR="00995B62" w:rsidRPr="004B0DA9" w:rsidRDefault="00995B62" w:rsidP="00CE5E7B">
            <w:pPr>
              <w:pStyle w:val="headnote-e"/>
              <w:rPr>
                <w:rFonts w:asciiTheme="minorHAnsi" w:hAnsiTheme="minorHAnsi"/>
                <w:sz w:val="24"/>
              </w:rPr>
            </w:pPr>
          </w:p>
        </w:tc>
      </w:tr>
      <w:tr w:rsidR="00CE5E7B" w:rsidRPr="004B0DA9" w14:paraId="573C86F3" w14:textId="77777777" w:rsidTr="00B9727C">
        <w:trPr>
          <w:trHeight w:val="62"/>
          <w:jc w:val="center"/>
        </w:trPr>
        <w:tc>
          <w:tcPr>
            <w:tcW w:w="9918" w:type="dxa"/>
            <w:gridSpan w:val="5"/>
            <w:vAlign w:val="bottom"/>
          </w:tcPr>
          <w:p w14:paraId="3D934EA3" w14:textId="77777777" w:rsidR="00CE5E7B" w:rsidRPr="004B0DA9" w:rsidRDefault="00CE5E7B" w:rsidP="00CE5E7B">
            <w:pPr>
              <w:pStyle w:val="headnote-e"/>
              <w:rPr>
                <w:rFonts w:asciiTheme="minorHAnsi" w:hAnsiTheme="minorHAnsi"/>
                <w:sz w:val="4"/>
              </w:rPr>
            </w:pPr>
          </w:p>
        </w:tc>
      </w:tr>
      <w:tr w:rsidR="00995B62" w:rsidRPr="004B0DA9" w14:paraId="74AD2D1E" w14:textId="77777777" w:rsidTr="00B9727C">
        <w:trPr>
          <w:trHeight w:val="180"/>
          <w:jc w:val="center"/>
        </w:trPr>
        <w:tc>
          <w:tcPr>
            <w:tcW w:w="9918" w:type="dxa"/>
            <w:gridSpan w:val="5"/>
            <w:shd w:val="clear" w:color="auto" w:fill="B6DDE8" w:themeFill="accent5" w:themeFillTint="66"/>
            <w:vAlign w:val="bottom"/>
          </w:tcPr>
          <w:p w14:paraId="4811F9E9" w14:textId="77777777" w:rsidR="00995B62" w:rsidRPr="004B0DA9" w:rsidRDefault="00995B62" w:rsidP="00CE5E7B">
            <w:pPr>
              <w:pStyle w:val="headnote-e"/>
              <w:rPr>
                <w:rFonts w:asciiTheme="minorHAnsi" w:hAnsiTheme="minorHAnsi"/>
              </w:rPr>
            </w:pPr>
            <w:r w:rsidRPr="004B0DA9">
              <w:rPr>
                <w:rFonts w:asciiTheme="minorHAnsi" w:hAnsiTheme="minorHAnsi"/>
              </w:rPr>
              <w:t>Team Members participating in the Gap Analysis:</w:t>
            </w:r>
          </w:p>
        </w:tc>
      </w:tr>
      <w:tr w:rsidR="00995B62" w:rsidRPr="004B0DA9" w14:paraId="49FCBAF0" w14:textId="77777777" w:rsidTr="00B9727C">
        <w:trPr>
          <w:gridBefore w:val="1"/>
          <w:wBefore w:w="270" w:type="dxa"/>
          <w:jc w:val="center"/>
        </w:trPr>
        <w:tc>
          <w:tcPr>
            <w:tcW w:w="4860" w:type="dxa"/>
            <w:gridSpan w:val="2"/>
            <w:tcBorders>
              <w:bottom w:val="single" w:sz="4" w:space="0" w:color="auto"/>
            </w:tcBorders>
            <w:vAlign w:val="bottom"/>
          </w:tcPr>
          <w:p w14:paraId="32A8D10F" w14:textId="77777777" w:rsidR="00995B62" w:rsidRPr="004B0DA9" w:rsidRDefault="00995B62" w:rsidP="00CE5E7B">
            <w:pPr>
              <w:pStyle w:val="headnote-e"/>
              <w:numPr>
                <w:ilvl w:val="0"/>
                <w:numId w:val="6"/>
              </w:numPr>
              <w:rPr>
                <w:rFonts w:asciiTheme="minorHAnsi" w:hAnsiTheme="minorHAnsi"/>
                <w:b w:val="0"/>
                <w:sz w:val="24"/>
              </w:rPr>
            </w:pPr>
          </w:p>
        </w:tc>
        <w:tc>
          <w:tcPr>
            <w:tcW w:w="270" w:type="dxa"/>
          </w:tcPr>
          <w:p w14:paraId="1168FB5A" w14:textId="77777777" w:rsidR="00995B62" w:rsidRPr="004B0DA9"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037F6971" w14:textId="77777777" w:rsidR="00995B62" w:rsidRPr="004B0DA9" w:rsidRDefault="00995B62" w:rsidP="00CE5E7B">
            <w:pPr>
              <w:pStyle w:val="headnote-e"/>
              <w:numPr>
                <w:ilvl w:val="0"/>
                <w:numId w:val="6"/>
              </w:numPr>
              <w:rPr>
                <w:rFonts w:asciiTheme="minorHAnsi" w:hAnsiTheme="minorHAnsi"/>
                <w:b w:val="0"/>
                <w:sz w:val="24"/>
              </w:rPr>
            </w:pPr>
          </w:p>
        </w:tc>
      </w:tr>
      <w:tr w:rsidR="00995B62" w:rsidRPr="004B0DA9" w14:paraId="3ED00ECB"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7F9C6D70" w14:textId="77777777" w:rsidR="00995B62" w:rsidRPr="004B0DA9" w:rsidRDefault="00995B62" w:rsidP="00CE5E7B">
            <w:pPr>
              <w:pStyle w:val="headnote-e"/>
              <w:numPr>
                <w:ilvl w:val="0"/>
                <w:numId w:val="6"/>
              </w:numPr>
              <w:rPr>
                <w:rFonts w:asciiTheme="minorHAnsi" w:hAnsiTheme="minorHAnsi"/>
                <w:b w:val="0"/>
                <w:sz w:val="24"/>
              </w:rPr>
            </w:pPr>
          </w:p>
        </w:tc>
        <w:tc>
          <w:tcPr>
            <w:tcW w:w="270" w:type="dxa"/>
          </w:tcPr>
          <w:p w14:paraId="2F1F633D" w14:textId="77777777" w:rsidR="00995B62" w:rsidRPr="004B0DA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622EF73F" w14:textId="77777777" w:rsidR="00995B62" w:rsidRPr="004B0DA9" w:rsidRDefault="00995B62" w:rsidP="00CE5E7B">
            <w:pPr>
              <w:pStyle w:val="headnote-e"/>
              <w:numPr>
                <w:ilvl w:val="0"/>
                <w:numId w:val="6"/>
              </w:numPr>
              <w:rPr>
                <w:rFonts w:asciiTheme="minorHAnsi" w:hAnsiTheme="minorHAnsi"/>
                <w:b w:val="0"/>
                <w:sz w:val="24"/>
              </w:rPr>
            </w:pPr>
          </w:p>
        </w:tc>
      </w:tr>
      <w:tr w:rsidR="00995B62" w:rsidRPr="004B0DA9" w14:paraId="40BC9D33"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4ED45298" w14:textId="77777777" w:rsidR="00995B62" w:rsidRPr="004B0DA9" w:rsidRDefault="00995B62" w:rsidP="00CE5E7B">
            <w:pPr>
              <w:pStyle w:val="headnote-e"/>
              <w:numPr>
                <w:ilvl w:val="0"/>
                <w:numId w:val="6"/>
              </w:numPr>
              <w:rPr>
                <w:rFonts w:asciiTheme="minorHAnsi" w:hAnsiTheme="minorHAnsi"/>
                <w:b w:val="0"/>
                <w:sz w:val="24"/>
              </w:rPr>
            </w:pPr>
          </w:p>
        </w:tc>
        <w:tc>
          <w:tcPr>
            <w:tcW w:w="270" w:type="dxa"/>
          </w:tcPr>
          <w:p w14:paraId="42716AAF" w14:textId="77777777" w:rsidR="00995B62" w:rsidRPr="004B0DA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141690C5" w14:textId="77777777" w:rsidR="00995B62" w:rsidRPr="004B0DA9" w:rsidRDefault="00995B62" w:rsidP="00CE5E7B">
            <w:pPr>
              <w:pStyle w:val="headnote-e"/>
              <w:numPr>
                <w:ilvl w:val="0"/>
                <w:numId w:val="6"/>
              </w:numPr>
              <w:rPr>
                <w:rFonts w:asciiTheme="minorHAnsi" w:hAnsiTheme="minorHAnsi"/>
                <w:b w:val="0"/>
                <w:sz w:val="24"/>
              </w:rPr>
            </w:pPr>
          </w:p>
        </w:tc>
      </w:tr>
    </w:tbl>
    <w:p w14:paraId="4BABE009" w14:textId="77777777" w:rsidR="000B1632" w:rsidRDefault="00E82AEE" w:rsidP="000B1632">
      <w:pPr>
        <w:pStyle w:val="headnote-e"/>
        <w:ind w:left="-630" w:right="-720"/>
        <w:rPr>
          <w:b w:val="0"/>
          <w:bCs w:val="0"/>
          <w:color w:val="auto"/>
          <w:sz w:val="24"/>
          <w:szCs w:val="24"/>
        </w:rPr>
      </w:pPr>
      <w:r w:rsidRPr="004B0DA9">
        <w:rPr>
          <w:rFonts w:asciiTheme="minorHAnsi" w:hAnsiTheme="minorHAnsi"/>
          <w:sz w:val="20"/>
          <w:szCs w:val="20"/>
        </w:rPr>
        <w:tab/>
      </w:r>
      <w:r w:rsidR="000B1632">
        <w:rPr>
          <w:rFonts w:ascii="Calibri" w:hAnsi="Calibri"/>
          <w:b w:val="0"/>
          <w:sz w:val="24"/>
          <w:szCs w:val="22"/>
        </w:rPr>
        <w:t xml:space="preserve">Completion of this gap analysis allows for the annual comparison of your current practice to evidence-based practices as regulated by the MOHLTC per Fixing Long-Term Care Act, 2021 at  </w:t>
      </w:r>
      <w:hyperlink r:id="rId15" w:history="1">
        <w:r w:rsidR="000B1632">
          <w:rPr>
            <w:rStyle w:val="Hyperlink"/>
            <w:rFonts w:ascii="Calibri" w:hAnsi="Calibri"/>
            <w:b w:val="0"/>
            <w:sz w:val="24"/>
            <w:szCs w:val="22"/>
          </w:rPr>
          <w:t>https://www.ontario.ca/laws/statute/21f39</w:t>
        </w:r>
      </w:hyperlink>
      <w:r w:rsidR="000B1632">
        <w:t xml:space="preserve"> </w:t>
      </w:r>
      <w:r w:rsidR="000B1632">
        <w:rPr>
          <w:rFonts w:asciiTheme="minorHAnsi" w:hAnsiTheme="minorHAnsi"/>
          <w:sz w:val="20"/>
          <w:szCs w:val="20"/>
        </w:rPr>
        <w:t xml:space="preserve">&amp; </w:t>
      </w:r>
      <w:hyperlink r:id="rId16" w:history="1">
        <w:r w:rsidR="000B1632" w:rsidRPr="00C60A90">
          <w:rPr>
            <w:b w:val="0"/>
            <w:bCs w:val="0"/>
            <w:color w:val="0000FF"/>
            <w:sz w:val="24"/>
            <w:szCs w:val="24"/>
            <w:u w:val="single"/>
          </w:rPr>
          <w:t>O. Reg. 246/22: GENERAL (ontario.ca)</w:t>
        </w:r>
      </w:hyperlink>
    </w:p>
    <w:p w14:paraId="1EE779E2" w14:textId="1BBE83C0" w:rsidR="00E82AEE" w:rsidRPr="004B0DA9" w:rsidRDefault="00E82AEE" w:rsidP="00E82AEE">
      <w:pPr>
        <w:rPr>
          <w:rFonts w:asciiTheme="minorHAnsi" w:hAnsiTheme="minorHAnsi"/>
          <w:b/>
          <w:color w:val="003366"/>
          <w:sz w:val="20"/>
          <w:szCs w:val="20"/>
        </w:rPr>
      </w:pP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4B0DA9" w14:paraId="39F51E00"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313B8A1A" w14:textId="77777777" w:rsidR="00D12ACF" w:rsidRPr="004B0DA9" w:rsidRDefault="00D12ACF" w:rsidP="00995B62">
            <w:pPr>
              <w:autoSpaceDE w:val="0"/>
              <w:autoSpaceDN w:val="0"/>
              <w:adjustRightInd w:val="0"/>
              <w:jc w:val="center"/>
              <w:rPr>
                <w:rFonts w:asciiTheme="minorHAnsi" w:hAnsiTheme="minorHAnsi"/>
                <w:color w:val="003366"/>
              </w:rPr>
            </w:pPr>
            <w:r w:rsidRPr="004B0DA9">
              <w:rPr>
                <w:rFonts w:asciiTheme="minorHAnsi" w:hAnsiTheme="minorHAnsi"/>
                <w:b/>
                <w:color w:val="003366"/>
              </w:rPr>
              <w:t xml:space="preserve">RNAO Best Practice Guideline </w:t>
            </w:r>
            <w:r w:rsidR="003A29E9" w:rsidRPr="004B0DA9">
              <w:rPr>
                <w:rFonts w:asciiTheme="minorHAnsi" w:hAnsiTheme="minorHAnsi"/>
                <w:b/>
                <w:color w:val="003366"/>
              </w:rPr>
              <w:t xml:space="preserve">(BPG) </w:t>
            </w:r>
            <w:r w:rsidRPr="004B0DA9">
              <w:rPr>
                <w:rFonts w:asciiTheme="minorHAnsi" w:hAnsiTheme="minorHAnsi"/>
                <w:b/>
                <w:color w:val="003366"/>
              </w:rPr>
              <w:t>Recommendations</w:t>
            </w:r>
          </w:p>
        </w:tc>
        <w:tc>
          <w:tcPr>
            <w:tcW w:w="504" w:type="dxa"/>
            <w:shd w:val="clear" w:color="auto" w:fill="B6DDE8" w:themeFill="accent5" w:themeFillTint="66"/>
            <w:textDirection w:val="btLr"/>
            <w:vAlign w:val="center"/>
          </w:tcPr>
          <w:p w14:paraId="542DC75C" w14:textId="77777777" w:rsidR="00D12ACF" w:rsidRPr="004B0DA9" w:rsidRDefault="00D12ACF" w:rsidP="003F5E96">
            <w:pPr>
              <w:pStyle w:val="headnote-e"/>
              <w:ind w:left="113" w:right="113"/>
              <w:jc w:val="center"/>
              <w:rPr>
                <w:rFonts w:asciiTheme="minorHAnsi" w:hAnsiTheme="minorHAnsi"/>
                <w:b w:val="0"/>
                <w:color w:val="003366"/>
                <w:sz w:val="22"/>
                <w:szCs w:val="24"/>
              </w:rPr>
            </w:pPr>
            <w:r w:rsidRPr="004B0DA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7B45EBEF" w14:textId="77777777" w:rsidR="00D12ACF" w:rsidRPr="004B0DA9" w:rsidRDefault="00D12ACF" w:rsidP="003F5E96">
            <w:pPr>
              <w:pStyle w:val="headnote-e"/>
              <w:spacing w:line="200" w:lineRule="exact"/>
              <w:ind w:left="115" w:right="115"/>
              <w:jc w:val="center"/>
              <w:rPr>
                <w:rFonts w:asciiTheme="minorHAnsi" w:hAnsiTheme="minorHAnsi"/>
                <w:b w:val="0"/>
                <w:color w:val="003366"/>
                <w:sz w:val="22"/>
                <w:szCs w:val="24"/>
              </w:rPr>
            </w:pPr>
            <w:r w:rsidRPr="004B0DA9">
              <w:rPr>
                <w:rFonts w:asciiTheme="minorHAnsi" w:hAnsiTheme="minorHAnsi"/>
                <w:b w:val="0"/>
                <w:color w:val="003366"/>
                <w:sz w:val="22"/>
                <w:szCs w:val="24"/>
              </w:rPr>
              <w:t>Partially</w:t>
            </w:r>
            <w:r w:rsidR="007D1C17" w:rsidRPr="004B0DA9">
              <w:rPr>
                <w:rFonts w:asciiTheme="minorHAnsi" w:hAnsiTheme="minorHAnsi"/>
                <w:b w:val="0"/>
                <w:color w:val="003366"/>
                <w:sz w:val="22"/>
                <w:szCs w:val="24"/>
              </w:rPr>
              <w:t xml:space="preserve"> </w:t>
            </w:r>
            <w:r w:rsidRPr="004B0DA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44793605" w14:textId="77777777" w:rsidR="00D12ACF" w:rsidRPr="004B0DA9" w:rsidRDefault="00D12ACF" w:rsidP="003F5E96">
            <w:pPr>
              <w:pStyle w:val="headnote-e"/>
              <w:ind w:left="113" w:right="113"/>
              <w:jc w:val="center"/>
              <w:rPr>
                <w:rFonts w:asciiTheme="minorHAnsi" w:hAnsiTheme="minorHAnsi"/>
                <w:b w:val="0"/>
                <w:color w:val="003366"/>
                <w:sz w:val="22"/>
                <w:szCs w:val="24"/>
              </w:rPr>
            </w:pPr>
            <w:r w:rsidRPr="004B0DA9">
              <w:rPr>
                <w:rFonts w:asciiTheme="minorHAnsi" w:hAnsiTheme="minorHAnsi"/>
                <w:b w:val="0"/>
                <w:color w:val="003366"/>
                <w:sz w:val="22"/>
                <w:szCs w:val="24"/>
              </w:rPr>
              <w:t>Unmet</w:t>
            </w:r>
          </w:p>
        </w:tc>
        <w:tc>
          <w:tcPr>
            <w:tcW w:w="5058" w:type="dxa"/>
            <w:shd w:val="clear" w:color="auto" w:fill="B6DDE8" w:themeFill="accent5" w:themeFillTint="66"/>
            <w:vAlign w:val="center"/>
          </w:tcPr>
          <w:p w14:paraId="791A43F1" w14:textId="77777777" w:rsidR="00660793" w:rsidRPr="004B0DA9" w:rsidRDefault="00D12ACF" w:rsidP="00660793">
            <w:pPr>
              <w:pStyle w:val="headnote-e"/>
              <w:jc w:val="center"/>
              <w:rPr>
                <w:rFonts w:asciiTheme="minorHAnsi" w:hAnsiTheme="minorHAnsi"/>
                <w:color w:val="003366"/>
                <w:sz w:val="24"/>
                <w:szCs w:val="24"/>
              </w:rPr>
            </w:pPr>
            <w:r w:rsidRPr="004B0DA9">
              <w:rPr>
                <w:rFonts w:asciiTheme="minorHAnsi" w:hAnsiTheme="minorHAnsi"/>
                <w:color w:val="003366"/>
                <w:sz w:val="24"/>
                <w:szCs w:val="24"/>
              </w:rPr>
              <w:t>Notes</w:t>
            </w:r>
          </w:p>
          <w:p w14:paraId="7FAD647D" w14:textId="77777777" w:rsidR="00EA0EF8" w:rsidRPr="004B0DA9" w:rsidRDefault="00EA0EF8" w:rsidP="00660793">
            <w:pPr>
              <w:pStyle w:val="headnote-e"/>
              <w:jc w:val="center"/>
              <w:rPr>
                <w:rFonts w:asciiTheme="minorHAnsi" w:hAnsiTheme="minorHAnsi"/>
                <w:b w:val="0"/>
                <w:color w:val="003366"/>
                <w:sz w:val="24"/>
                <w:szCs w:val="24"/>
              </w:rPr>
            </w:pPr>
            <w:r w:rsidRPr="004B0DA9">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4B0DA9" w14:paraId="2FBA0306"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0B8CB2F4" w14:textId="77777777" w:rsidR="000F6FD0" w:rsidRPr="004B0DA9" w:rsidRDefault="00B638EC" w:rsidP="000F6FD0">
            <w:pPr>
              <w:rPr>
                <w:rFonts w:asciiTheme="minorHAnsi" w:hAnsiTheme="minorHAnsi"/>
                <w:b/>
                <w:color w:val="1F497D"/>
                <w:sz w:val="22"/>
              </w:rPr>
            </w:pPr>
            <w:r w:rsidRPr="004B0DA9">
              <w:rPr>
                <w:rFonts w:asciiTheme="minorHAnsi" w:hAnsiTheme="minorHAnsi"/>
                <w:b/>
                <w:color w:val="1F497D"/>
                <w:sz w:val="22"/>
              </w:rPr>
              <w:t>Practice Recommendations</w:t>
            </w:r>
          </w:p>
        </w:tc>
      </w:tr>
      <w:tr w:rsidR="00995B62" w:rsidRPr="004B0DA9" w14:paraId="37D6B6C3" w14:textId="77777777" w:rsidTr="00B9727C">
        <w:trPr>
          <w:trHeight w:val="20"/>
          <w:jc w:val="center"/>
        </w:trPr>
        <w:tc>
          <w:tcPr>
            <w:tcW w:w="4950" w:type="dxa"/>
            <w:tcBorders>
              <w:bottom w:val="single" w:sz="4" w:space="0" w:color="008080"/>
            </w:tcBorders>
            <w:shd w:val="clear" w:color="auto" w:fill="auto"/>
          </w:tcPr>
          <w:p w14:paraId="0E12C27E" w14:textId="77777777" w:rsidR="00C828FE" w:rsidRPr="005A5DFE" w:rsidRDefault="00B638EC"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 xml:space="preserve">1 Nurses establish a therapeutic relationship with the client who is at risk of harm to self/others to help prevent the use of restraints.  </w:t>
            </w:r>
          </w:p>
          <w:p w14:paraId="00BC0FED" w14:textId="77777777" w:rsidR="00D12ACF" w:rsidRPr="004B0DA9" w:rsidRDefault="00B638EC" w:rsidP="00B638EC">
            <w:pPr>
              <w:ind w:left="180" w:hanging="180"/>
              <w:rPr>
                <w:rFonts w:asciiTheme="minorHAnsi" w:hAnsiTheme="minorHAnsi"/>
                <w:sz w:val="22"/>
                <w:szCs w:val="22"/>
              </w:rPr>
            </w:pPr>
            <w:r w:rsidRPr="004B0DA9">
              <w:rPr>
                <w:rFonts w:asciiTheme="minorHAnsi" w:hAnsiTheme="minorHAnsi"/>
                <w:color w:val="1F497D"/>
                <w:sz w:val="20"/>
              </w:rPr>
              <w:t>(Level IV Evidence)</w:t>
            </w:r>
          </w:p>
        </w:tc>
        <w:tc>
          <w:tcPr>
            <w:tcW w:w="504" w:type="dxa"/>
            <w:tcBorders>
              <w:bottom w:val="single" w:sz="4" w:space="0" w:color="008080"/>
            </w:tcBorders>
            <w:shd w:val="clear" w:color="auto" w:fill="auto"/>
          </w:tcPr>
          <w:p w14:paraId="49BBBAC2" w14:textId="77777777" w:rsidR="00D12ACF" w:rsidRPr="004B0DA9"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1F87F24" w14:textId="77777777" w:rsidR="00D12ACF" w:rsidRPr="004B0DA9"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5326523" w14:textId="77777777" w:rsidR="00D12ACF" w:rsidRPr="004B0DA9" w:rsidRDefault="00D12A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95EE07C" w14:textId="77777777" w:rsidR="00D12ACF" w:rsidRPr="004B0DA9" w:rsidRDefault="00D12ACF" w:rsidP="00E82AEE">
            <w:pPr>
              <w:ind w:left="72"/>
              <w:rPr>
                <w:rFonts w:asciiTheme="minorHAnsi" w:hAnsiTheme="minorHAnsi"/>
                <w:sz w:val="20"/>
                <w:szCs w:val="22"/>
              </w:rPr>
            </w:pPr>
          </w:p>
        </w:tc>
      </w:tr>
      <w:tr w:rsidR="00B638EC" w:rsidRPr="004B0DA9" w14:paraId="1B2FB1DD" w14:textId="77777777" w:rsidTr="00B9727C">
        <w:trPr>
          <w:trHeight w:val="20"/>
          <w:jc w:val="center"/>
        </w:trPr>
        <w:tc>
          <w:tcPr>
            <w:tcW w:w="4950" w:type="dxa"/>
            <w:tcBorders>
              <w:bottom w:val="single" w:sz="4" w:space="0" w:color="008080"/>
            </w:tcBorders>
            <w:shd w:val="clear" w:color="auto" w:fill="auto"/>
          </w:tcPr>
          <w:p w14:paraId="432E15C8" w14:textId="77777777" w:rsidR="00B638EC" w:rsidRPr="005A5DFE" w:rsidRDefault="00B638EC"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2 Nurses should assess the client on admission and on an ongoing basis to identify any risk factors that may result in the use of restraints.</w:t>
            </w:r>
          </w:p>
          <w:p w14:paraId="5A06634F" w14:textId="77777777" w:rsidR="00B638EC" w:rsidRPr="004B0DA9" w:rsidRDefault="00B638EC" w:rsidP="00C828FE">
            <w:pPr>
              <w:rPr>
                <w:rFonts w:asciiTheme="minorHAnsi" w:hAnsiTheme="minorHAnsi"/>
                <w:sz w:val="22"/>
                <w:szCs w:val="22"/>
              </w:rPr>
            </w:pPr>
            <w:r w:rsidRPr="004B0DA9">
              <w:rPr>
                <w:rFonts w:asciiTheme="minorHAnsi" w:hAnsiTheme="minorHAnsi"/>
                <w:color w:val="1F497D"/>
                <w:sz w:val="20"/>
              </w:rPr>
              <w:t>(Level IIb Evidence)</w:t>
            </w:r>
          </w:p>
        </w:tc>
        <w:tc>
          <w:tcPr>
            <w:tcW w:w="504" w:type="dxa"/>
            <w:tcBorders>
              <w:bottom w:val="single" w:sz="4" w:space="0" w:color="008080"/>
            </w:tcBorders>
            <w:shd w:val="clear" w:color="auto" w:fill="auto"/>
          </w:tcPr>
          <w:p w14:paraId="421CBCBE"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381A634"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FD20948" w14:textId="77777777" w:rsidR="00B638EC" w:rsidRPr="004B0DA9" w:rsidRDefault="00B638E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7BAFAAE" w14:textId="77777777" w:rsidR="00B638EC" w:rsidRPr="004B0DA9" w:rsidRDefault="00B638EC" w:rsidP="00E82AEE">
            <w:pPr>
              <w:ind w:left="72"/>
              <w:rPr>
                <w:rFonts w:asciiTheme="minorHAnsi" w:hAnsiTheme="minorHAnsi"/>
                <w:sz w:val="20"/>
                <w:szCs w:val="22"/>
              </w:rPr>
            </w:pPr>
          </w:p>
        </w:tc>
      </w:tr>
      <w:tr w:rsidR="00B638EC" w:rsidRPr="004B0DA9" w14:paraId="3FCF640C" w14:textId="77777777" w:rsidTr="00B9727C">
        <w:trPr>
          <w:trHeight w:val="20"/>
          <w:jc w:val="center"/>
        </w:trPr>
        <w:tc>
          <w:tcPr>
            <w:tcW w:w="4950" w:type="dxa"/>
            <w:tcBorders>
              <w:bottom w:val="single" w:sz="4" w:space="0" w:color="008080"/>
            </w:tcBorders>
            <w:shd w:val="clear" w:color="auto" w:fill="auto"/>
          </w:tcPr>
          <w:p w14:paraId="0FC73E29" w14:textId="77777777" w:rsidR="00C828FE" w:rsidRPr="005A5DFE" w:rsidRDefault="00B638EC"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3 Nurses should utilize clinical judgment and validated assessment tools to assess clients at risk for restraint use.</w:t>
            </w:r>
            <w:r w:rsidR="00732F8A" w:rsidRPr="005A5DFE">
              <w:rPr>
                <w:rFonts w:asciiTheme="minorHAnsi" w:hAnsiTheme="minorHAnsi"/>
                <w:sz w:val="22"/>
              </w:rPr>
              <w:t xml:space="preserve">            </w:t>
            </w:r>
          </w:p>
          <w:p w14:paraId="69A85A52" w14:textId="77777777" w:rsidR="00B638EC" w:rsidRPr="004B0DA9" w:rsidRDefault="00B638EC" w:rsidP="00C828FE">
            <w:pPr>
              <w:ind w:left="180" w:hanging="180"/>
              <w:rPr>
                <w:rFonts w:asciiTheme="minorHAnsi" w:hAnsiTheme="minorHAnsi"/>
                <w:sz w:val="22"/>
                <w:szCs w:val="22"/>
              </w:rPr>
            </w:pPr>
            <w:r w:rsidRPr="004B0DA9">
              <w:rPr>
                <w:rFonts w:asciiTheme="minorHAnsi" w:hAnsiTheme="minorHAnsi"/>
                <w:color w:val="1F497D"/>
                <w:sz w:val="20"/>
              </w:rPr>
              <w:t>(Level IIb Evidence)</w:t>
            </w:r>
          </w:p>
        </w:tc>
        <w:tc>
          <w:tcPr>
            <w:tcW w:w="504" w:type="dxa"/>
            <w:tcBorders>
              <w:bottom w:val="single" w:sz="4" w:space="0" w:color="008080"/>
            </w:tcBorders>
            <w:shd w:val="clear" w:color="auto" w:fill="auto"/>
          </w:tcPr>
          <w:p w14:paraId="7A9DFB2A"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9B9725F"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A656094" w14:textId="77777777" w:rsidR="00B638EC" w:rsidRPr="004B0DA9" w:rsidRDefault="00B638E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E370534" w14:textId="77777777" w:rsidR="00B638EC" w:rsidRPr="004B0DA9" w:rsidRDefault="00B638EC" w:rsidP="00E82AEE">
            <w:pPr>
              <w:ind w:left="72"/>
              <w:rPr>
                <w:rFonts w:asciiTheme="minorHAnsi" w:hAnsiTheme="minorHAnsi"/>
                <w:sz w:val="20"/>
                <w:szCs w:val="22"/>
              </w:rPr>
            </w:pPr>
          </w:p>
        </w:tc>
      </w:tr>
      <w:tr w:rsidR="00B638EC" w:rsidRPr="004B0DA9" w14:paraId="279C8AC9" w14:textId="77777777" w:rsidTr="00B9727C">
        <w:trPr>
          <w:trHeight w:val="20"/>
          <w:jc w:val="center"/>
        </w:trPr>
        <w:tc>
          <w:tcPr>
            <w:tcW w:w="4950" w:type="dxa"/>
            <w:tcBorders>
              <w:bottom w:val="single" w:sz="4" w:space="0" w:color="008080"/>
            </w:tcBorders>
            <w:shd w:val="clear" w:color="auto" w:fill="auto"/>
          </w:tcPr>
          <w:p w14:paraId="123DF721" w14:textId="77777777" w:rsidR="00C828FE" w:rsidRPr="005A5DFE" w:rsidRDefault="00B638EC"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4 Nurses in partnership with the interprofessional team and client/family/substitute decision-makers (SDM) should create an individualized plan of care that focuses on alternative approaches to the use of restraints.</w:t>
            </w:r>
            <w:r w:rsidR="00732F8A" w:rsidRPr="005A5DFE">
              <w:rPr>
                <w:rFonts w:asciiTheme="minorHAnsi" w:hAnsiTheme="minorHAnsi"/>
                <w:sz w:val="22"/>
              </w:rPr>
              <w:t xml:space="preserve">                       </w:t>
            </w:r>
          </w:p>
          <w:p w14:paraId="6E3E6D80" w14:textId="77777777" w:rsidR="00B638EC" w:rsidRPr="004B0DA9" w:rsidRDefault="00B638EC" w:rsidP="00732F8A">
            <w:pPr>
              <w:ind w:left="180" w:hanging="180"/>
              <w:rPr>
                <w:rFonts w:asciiTheme="minorHAnsi" w:hAnsiTheme="minorHAnsi"/>
                <w:sz w:val="22"/>
                <w:szCs w:val="22"/>
              </w:rPr>
            </w:pPr>
            <w:r w:rsidRPr="004B0DA9">
              <w:rPr>
                <w:rFonts w:asciiTheme="minorHAnsi" w:hAnsiTheme="minorHAnsi"/>
                <w:color w:val="1F497D"/>
                <w:sz w:val="20"/>
              </w:rPr>
              <w:t>(Level IIb Evidence)</w:t>
            </w:r>
          </w:p>
        </w:tc>
        <w:tc>
          <w:tcPr>
            <w:tcW w:w="504" w:type="dxa"/>
            <w:tcBorders>
              <w:bottom w:val="single" w:sz="4" w:space="0" w:color="008080"/>
            </w:tcBorders>
            <w:shd w:val="clear" w:color="auto" w:fill="auto"/>
          </w:tcPr>
          <w:p w14:paraId="6BFBB066"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1AB1E49"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CB59949" w14:textId="77777777" w:rsidR="00B638EC" w:rsidRPr="004B0DA9" w:rsidRDefault="00B638E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DC632ED" w14:textId="77777777" w:rsidR="00B638EC" w:rsidRPr="004B0DA9" w:rsidRDefault="00B638EC" w:rsidP="00E82AEE">
            <w:pPr>
              <w:ind w:left="72"/>
              <w:rPr>
                <w:rFonts w:asciiTheme="minorHAnsi" w:hAnsiTheme="minorHAnsi"/>
                <w:sz w:val="20"/>
                <w:szCs w:val="22"/>
              </w:rPr>
            </w:pPr>
          </w:p>
        </w:tc>
      </w:tr>
      <w:tr w:rsidR="00B638EC" w:rsidRPr="004B0DA9" w14:paraId="7AA6AF93" w14:textId="77777777" w:rsidTr="00B9727C">
        <w:trPr>
          <w:trHeight w:val="20"/>
          <w:jc w:val="center"/>
        </w:trPr>
        <w:tc>
          <w:tcPr>
            <w:tcW w:w="4950" w:type="dxa"/>
            <w:tcBorders>
              <w:bottom w:val="single" w:sz="4" w:space="0" w:color="008080"/>
            </w:tcBorders>
            <w:shd w:val="clear" w:color="auto" w:fill="auto"/>
          </w:tcPr>
          <w:p w14:paraId="3B850EF2" w14:textId="77777777" w:rsidR="00C828FE" w:rsidRPr="005A5DFE" w:rsidRDefault="00B638EC"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5 Nurses in partnership with the interprofessional team should continuously monitor and re-evaluate the client’s plan of care based on observation and/or concerns expressed by the client and/or family/SDM.</w:t>
            </w:r>
            <w:r w:rsidR="00732F8A" w:rsidRPr="005A5DFE">
              <w:rPr>
                <w:rFonts w:asciiTheme="minorHAnsi" w:hAnsiTheme="minorHAnsi"/>
                <w:sz w:val="22"/>
              </w:rPr>
              <w:t xml:space="preserve">                </w:t>
            </w:r>
          </w:p>
          <w:p w14:paraId="7A9B3027" w14:textId="77777777" w:rsidR="00B638EC" w:rsidRPr="004B0DA9" w:rsidRDefault="00B638EC" w:rsidP="00C828FE">
            <w:pPr>
              <w:ind w:left="180" w:hanging="180"/>
              <w:rPr>
                <w:rFonts w:asciiTheme="minorHAnsi" w:hAnsiTheme="minorHAnsi"/>
                <w:sz w:val="22"/>
                <w:szCs w:val="22"/>
              </w:rPr>
            </w:pPr>
            <w:r w:rsidRPr="004B0DA9">
              <w:rPr>
                <w:rFonts w:asciiTheme="minorHAnsi" w:hAnsiTheme="minorHAnsi"/>
                <w:color w:val="1F497D"/>
                <w:sz w:val="20"/>
              </w:rPr>
              <w:t>(Level IV Evidence)</w:t>
            </w:r>
          </w:p>
        </w:tc>
        <w:tc>
          <w:tcPr>
            <w:tcW w:w="504" w:type="dxa"/>
            <w:tcBorders>
              <w:bottom w:val="single" w:sz="4" w:space="0" w:color="008080"/>
            </w:tcBorders>
            <w:shd w:val="clear" w:color="auto" w:fill="auto"/>
          </w:tcPr>
          <w:p w14:paraId="2E934AFF"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3B0D1CE"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16DBC62" w14:textId="77777777" w:rsidR="00B638EC" w:rsidRPr="004B0DA9" w:rsidRDefault="00B638E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9E0A856" w14:textId="77777777" w:rsidR="00B638EC" w:rsidRPr="004B0DA9" w:rsidRDefault="00B638EC" w:rsidP="00E82AEE">
            <w:pPr>
              <w:ind w:left="72"/>
              <w:rPr>
                <w:rFonts w:asciiTheme="minorHAnsi" w:hAnsiTheme="minorHAnsi"/>
                <w:sz w:val="20"/>
                <w:szCs w:val="22"/>
              </w:rPr>
            </w:pPr>
          </w:p>
        </w:tc>
      </w:tr>
      <w:tr w:rsidR="00B638EC" w:rsidRPr="004B0DA9" w14:paraId="69C34499" w14:textId="77777777" w:rsidTr="00B9727C">
        <w:trPr>
          <w:trHeight w:val="20"/>
          <w:jc w:val="center"/>
        </w:trPr>
        <w:tc>
          <w:tcPr>
            <w:tcW w:w="4950" w:type="dxa"/>
            <w:tcBorders>
              <w:bottom w:val="single" w:sz="4" w:space="0" w:color="008080"/>
            </w:tcBorders>
            <w:shd w:val="clear" w:color="auto" w:fill="auto"/>
          </w:tcPr>
          <w:p w14:paraId="67AA8D6A" w14:textId="77777777" w:rsidR="00C828FE" w:rsidRPr="005A5DFE" w:rsidRDefault="00B638EC"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6 Nurses in partnership with the interprofessional team should implement multicomponent strategies to prevent the use of restraints for clients identified at risk.</w:t>
            </w:r>
            <w:r w:rsidR="00732F8A" w:rsidRPr="005A5DFE">
              <w:rPr>
                <w:rFonts w:asciiTheme="minorHAnsi" w:hAnsiTheme="minorHAnsi"/>
                <w:sz w:val="22"/>
              </w:rPr>
              <w:t xml:space="preserve">                           </w:t>
            </w:r>
          </w:p>
          <w:p w14:paraId="150014D2" w14:textId="77777777" w:rsidR="00B638EC" w:rsidRPr="004B0DA9" w:rsidRDefault="00B638EC" w:rsidP="00732F8A">
            <w:pPr>
              <w:ind w:left="180" w:hanging="180"/>
              <w:rPr>
                <w:rFonts w:asciiTheme="minorHAnsi" w:hAnsiTheme="minorHAnsi"/>
                <w:sz w:val="22"/>
                <w:szCs w:val="22"/>
              </w:rPr>
            </w:pPr>
            <w:r w:rsidRPr="004B0DA9">
              <w:rPr>
                <w:rFonts w:asciiTheme="minorHAnsi" w:hAnsiTheme="minorHAnsi"/>
                <w:color w:val="1F497D"/>
                <w:sz w:val="20"/>
              </w:rPr>
              <w:t xml:space="preserve">(Level </w:t>
            </w:r>
            <w:proofErr w:type="spellStart"/>
            <w:r w:rsidRPr="004B0DA9">
              <w:rPr>
                <w:rFonts w:asciiTheme="minorHAnsi" w:hAnsiTheme="minorHAnsi"/>
                <w:color w:val="1F497D"/>
                <w:sz w:val="20"/>
              </w:rPr>
              <w:t>IIa</w:t>
            </w:r>
            <w:proofErr w:type="spellEnd"/>
            <w:r w:rsidRPr="004B0DA9">
              <w:rPr>
                <w:rFonts w:asciiTheme="minorHAnsi" w:hAnsiTheme="minorHAnsi"/>
                <w:color w:val="1F497D"/>
                <w:sz w:val="20"/>
              </w:rPr>
              <w:t xml:space="preserve"> Evidence)</w:t>
            </w:r>
          </w:p>
        </w:tc>
        <w:tc>
          <w:tcPr>
            <w:tcW w:w="504" w:type="dxa"/>
            <w:tcBorders>
              <w:bottom w:val="single" w:sz="4" w:space="0" w:color="008080"/>
            </w:tcBorders>
            <w:shd w:val="clear" w:color="auto" w:fill="auto"/>
          </w:tcPr>
          <w:p w14:paraId="3F2B72B0"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0DB9ED6" w14:textId="77777777" w:rsidR="00B638EC" w:rsidRPr="004B0DA9" w:rsidRDefault="00B638E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4692381" w14:textId="77777777" w:rsidR="00B638EC" w:rsidRPr="004B0DA9" w:rsidRDefault="00B638E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083C256" w14:textId="77777777" w:rsidR="00B638EC" w:rsidRPr="004B0DA9" w:rsidRDefault="00B638EC" w:rsidP="00E82AEE">
            <w:pPr>
              <w:ind w:left="72"/>
              <w:rPr>
                <w:rFonts w:asciiTheme="minorHAnsi" w:hAnsiTheme="minorHAnsi"/>
                <w:sz w:val="20"/>
                <w:szCs w:val="22"/>
              </w:rPr>
            </w:pPr>
          </w:p>
        </w:tc>
      </w:tr>
      <w:tr w:rsidR="000F6FD0" w:rsidRPr="004B0DA9" w14:paraId="575008FB" w14:textId="77777777" w:rsidTr="00B9727C">
        <w:trPr>
          <w:trHeight w:val="20"/>
          <w:jc w:val="center"/>
        </w:trPr>
        <w:tc>
          <w:tcPr>
            <w:tcW w:w="4950" w:type="dxa"/>
            <w:tcBorders>
              <w:bottom w:val="single" w:sz="4" w:space="0" w:color="008080"/>
            </w:tcBorders>
            <w:shd w:val="clear" w:color="auto" w:fill="auto"/>
          </w:tcPr>
          <w:p w14:paraId="032B9CFE" w14:textId="77777777" w:rsidR="00B638EC" w:rsidRPr="005A5DFE" w:rsidRDefault="00B638EC"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 xml:space="preserve">7 Nurses in partnership with the interprofessional team should implement de-escalation and crisis management techniques and mobilize the appropriate resources to promote safety and mitigate risk of harm for all in the presence of escalating responsive </w:t>
            </w:r>
            <w:proofErr w:type="spellStart"/>
            <w:r w:rsidRPr="005A5DFE">
              <w:rPr>
                <w:rFonts w:asciiTheme="minorHAnsi" w:hAnsiTheme="minorHAnsi"/>
                <w:sz w:val="22"/>
              </w:rPr>
              <w:t>behaviours</w:t>
            </w:r>
            <w:proofErr w:type="spellEnd"/>
            <w:r w:rsidRPr="005A5DFE">
              <w:rPr>
                <w:rFonts w:asciiTheme="minorHAnsi" w:hAnsiTheme="minorHAnsi"/>
                <w:sz w:val="22"/>
              </w:rPr>
              <w:t>.</w:t>
            </w:r>
          </w:p>
          <w:p w14:paraId="3B3275F8" w14:textId="77777777" w:rsidR="000F6FD0" w:rsidRPr="004B0DA9" w:rsidRDefault="00B638EC" w:rsidP="00C828FE">
            <w:pPr>
              <w:rPr>
                <w:rFonts w:asciiTheme="minorHAnsi" w:hAnsiTheme="minorHAnsi"/>
                <w:sz w:val="22"/>
                <w:szCs w:val="22"/>
              </w:rPr>
            </w:pPr>
            <w:r w:rsidRPr="004B0DA9">
              <w:rPr>
                <w:rFonts w:asciiTheme="minorHAnsi" w:hAnsiTheme="minorHAnsi"/>
                <w:color w:val="1F497D"/>
                <w:sz w:val="20"/>
              </w:rPr>
              <w:t>(Level IIb Evidence)</w:t>
            </w:r>
          </w:p>
        </w:tc>
        <w:tc>
          <w:tcPr>
            <w:tcW w:w="504" w:type="dxa"/>
            <w:tcBorders>
              <w:bottom w:val="single" w:sz="4" w:space="0" w:color="008080"/>
            </w:tcBorders>
            <w:shd w:val="clear" w:color="auto" w:fill="auto"/>
          </w:tcPr>
          <w:p w14:paraId="19E47FB1" w14:textId="77777777" w:rsidR="000F6FD0" w:rsidRPr="004B0DA9" w:rsidRDefault="000F6FD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E03768D" w14:textId="77777777" w:rsidR="000F6FD0" w:rsidRPr="004B0DA9" w:rsidRDefault="000F6FD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5E7E37B" w14:textId="77777777" w:rsidR="000F6FD0" w:rsidRPr="004B0DA9" w:rsidRDefault="000F6FD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C0E9AA8" w14:textId="77777777" w:rsidR="000F6FD0" w:rsidRPr="004B0DA9" w:rsidRDefault="000F6FD0" w:rsidP="00E82AEE">
            <w:pPr>
              <w:ind w:left="72"/>
              <w:rPr>
                <w:rFonts w:asciiTheme="minorHAnsi" w:hAnsiTheme="minorHAnsi"/>
                <w:sz w:val="20"/>
                <w:szCs w:val="22"/>
              </w:rPr>
            </w:pPr>
          </w:p>
        </w:tc>
      </w:tr>
      <w:tr w:rsidR="000F6FD0" w:rsidRPr="004B0DA9" w14:paraId="58202379" w14:textId="77777777" w:rsidTr="00B9727C">
        <w:trPr>
          <w:trHeight w:val="20"/>
          <w:jc w:val="center"/>
        </w:trPr>
        <w:tc>
          <w:tcPr>
            <w:tcW w:w="4950" w:type="dxa"/>
            <w:tcBorders>
              <w:bottom w:val="single" w:sz="4" w:space="0" w:color="008080"/>
            </w:tcBorders>
            <w:shd w:val="clear" w:color="auto" w:fill="auto"/>
          </w:tcPr>
          <w:p w14:paraId="34755908" w14:textId="77777777" w:rsidR="006C47B5" w:rsidRPr="005A5DFE" w:rsidRDefault="006C47B5" w:rsidP="005A5DFE">
            <w:pPr>
              <w:autoSpaceDE w:val="0"/>
              <w:autoSpaceDN w:val="0"/>
              <w:adjustRightInd w:val="0"/>
              <w:ind w:left="398" w:hanging="398"/>
              <w:rPr>
                <w:rFonts w:asciiTheme="minorHAnsi" w:hAnsiTheme="minorHAnsi"/>
                <w:sz w:val="22"/>
              </w:rPr>
            </w:pPr>
            <w:r w:rsidRPr="005A5DFE">
              <w:rPr>
                <w:rFonts w:asciiTheme="minorHAnsi" w:hAnsiTheme="minorHAnsi"/>
                <w:sz w:val="22"/>
              </w:rPr>
              <w:lastRenderedPageBreak/>
              <w:t>8 Nurses in partnership with the interprofessional team should engage in care practices that minimize any risk to the client’s safety and well-being throughout the duration of any restraining process.</w:t>
            </w:r>
          </w:p>
          <w:p w14:paraId="14E54533" w14:textId="77777777" w:rsidR="008670AC" w:rsidRPr="004B0DA9" w:rsidRDefault="006C47B5" w:rsidP="00C828FE">
            <w:pPr>
              <w:rPr>
                <w:rFonts w:asciiTheme="minorHAnsi" w:hAnsiTheme="minorHAnsi"/>
                <w:sz w:val="22"/>
                <w:szCs w:val="22"/>
              </w:rPr>
            </w:pPr>
            <w:r w:rsidRPr="004B0DA9">
              <w:rPr>
                <w:rFonts w:asciiTheme="minorHAnsi" w:hAnsiTheme="minorHAnsi"/>
                <w:color w:val="1F497D"/>
                <w:sz w:val="20"/>
              </w:rPr>
              <w:t>(Level IV Evidence)</w:t>
            </w:r>
          </w:p>
        </w:tc>
        <w:tc>
          <w:tcPr>
            <w:tcW w:w="504" w:type="dxa"/>
            <w:tcBorders>
              <w:bottom w:val="single" w:sz="4" w:space="0" w:color="008080"/>
            </w:tcBorders>
            <w:shd w:val="clear" w:color="auto" w:fill="auto"/>
          </w:tcPr>
          <w:p w14:paraId="3A9C7F55" w14:textId="77777777" w:rsidR="000F6FD0" w:rsidRPr="004B0DA9" w:rsidRDefault="000F6FD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0CDB680" w14:textId="77777777" w:rsidR="000F6FD0" w:rsidRPr="004B0DA9" w:rsidRDefault="000F6FD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EDEFF14" w14:textId="77777777" w:rsidR="000F6FD0" w:rsidRPr="004B0DA9" w:rsidRDefault="000F6FD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BEC6D0C" w14:textId="77777777" w:rsidR="000F6FD0" w:rsidRPr="004B0DA9" w:rsidRDefault="000F6FD0" w:rsidP="00E82AEE">
            <w:pPr>
              <w:ind w:left="72"/>
              <w:rPr>
                <w:rFonts w:asciiTheme="minorHAnsi" w:hAnsiTheme="minorHAnsi"/>
                <w:sz w:val="20"/>
                <w:szCs w:val="22"/>
              </w:rPr>
            </w:pPr>
          </w:p>
        </w:tc>
      </w:tr>
      <w:tr w:rsidR="0067764A" w:rsidRPr="004B0DA9" w14:paraId="1A16C760" w14:textId="77777777" w:rsidTr="00522181">
        <w:trPr>
          <w:trHeight w:val="20"/>
          <w:jc w:val="center"/>
        </w:trPr>
        <w:tc>
          <w:tcPr>
            <w:tcW w:w="11520" w:type="dxa"/>
            <w:gridSpan w:val="5"/>
            <w:tcBorders>
              <w:bottom w:val="single" w:sz="4" w:space="0" w:color="008080"/>
            </w:tcBorders>
            <w:shd w:val="clear" w:color="auto" w:fill="DAEEF3" w:themeFill="accent5" w:themeFillTint="33"/>
          </w:tcPr>
          <w:p w14:paraId="63FDC90C" w14:textId="77777777" w:rsidR="0067764A" w:rsidRPr="004B0DA9" w:rsidRDefault="0059715D" w:rsidP="00522181">
            <w:pPr>
              <w:rPr>
                <w:rFonts w:asciiTheme="minorHAnsi" w:hAnsiTheme="minorHAnsi"/>
                <w:b/>
                <w:color w:val="1F497D"/>
                <w:sz w:val="22"/>
              </w:rPr>
            </w:pPr>
            <w:r w:rsidRPr="004B0DA9">
              <w:rPr>
                <w:rFonts w:asciiTheme="minorHAnsi" w:hAnsiTheme="minorHAnsi"/>
                <w:b/>
                <w:color w:val="1F497D"/>
                <w:sz w:val="22"/>
              </w:rPr>
              <w:t>Education Recommendations</w:t>
            </w:r>
          </w:p>
        </w:tc>
      </w:tr>
      <w:tr w:rsidR="0067764A" w:rsidRPr="004B0DA9" w14:paraId="704A0081" w14:textId="77777777" w:rsidTr="00B9727C">
        <w:trPr>
          <w:trHeight w:val="20"/>
          <w:jc w:val="center"/>
        </w:trPr>
        <w:tc>
          <w:tcPr>
            <w:tcW w:w="4950" w:type="dxa"/>
            <w:tcBorders>
              <w:bottom w:val="single" w:sz="4" w:space="0" w:color="008080"/>
            </w:tcBorders>
            <w:shd w:val="clear" w:color="auto" w:fill="auto"/>
          </w:tcPr>
          <w:p w14:paraId="76EB6492" w14:textId="77777777" w:rsidR="0059715D" w:rsidRPr="005A5DFE" w:rsidRDefault="0059715D"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9 Education on working with clients at risk for the use of restraints should be included in all entry to practice nursing curricula as well as ongoing professional development opportunities with specific emphasis on:</w:t>
            </w:r>
          </w:p>
          <w:p w14:paraId="3F7E25CE"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Approaches to care: (</w:t>
            </w:r>
            <w:proofErr w:type="gramStart"/>
            <w:r w:rsidRPr="004B0DA9">
              <w:rPr>
                <w:rFonts w:asciiTheme="minorHAnsi" w:hAnsiTheme="minorHAnsi"/>
                <w:sz w:val="22"/>
                <w:szCs w:val="22"/>
              </w:rPr>
              <w:t>e.g.</w:t>
            </w:r>
            <w:proofErr w:type="gramEnd"/>
            <w:r w:rsidRPr="004B0DA9">
              <w:rPr>
                <w:rFonts w:asciiTheme="minorHAnsi" w:hAnsiTheme="minorHAnsi"/>
                <w:sz w:val="22"/>
                <w:szCs w:val="22"/>
              </w:rPr>
              <w:t xml:space="preserve"> trauma informed care);</w:t>
            </w:r>
          </w:p>
          <w:p w14:paraId="657D37E9"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Communication and education of client/family/SDM and key components of debriefing;</w:t>
            </w:r>
          </w:p>
          <w:p w14:paraId="0FD6CAF3"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Education on nursing responsibilities for the proper application of restraints;</w:t>
            </w:r>
          </w:p>
          <w:p w14:paraId="3E3495EF"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Ethical decision-making;</w:t>
            </w:r>
          </w:p>
          <w:p w14:paraId="0268BA82"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 xml:space="preserve">Knowledge of diagnoses and common triggers associated with responsive </w:t>
            </w:r>
            <w:proofErr w:type="spellStart"/>
            <w:r w:rsidRPr="004B0DA9">
              <w:rPr>
                <w:rFonts w:asciiTheme="minorHAnsi" w:hAnsiTheme="minorHAnsi"/>
                <w:sz w:val="22"/>
                <w:szCs w:val="22"/>
              </w:rPr>
              <w:t>behaviours</w:t>
            </w:r>
            <w:proofErr w:type="spellEnd"/>
            <w:r w:rsidRPr="004B0DA9">
              <w:rPr>
                <w:rFonts w:asciiTheme="minorHAnsi" w:hAnsiTheme="minorHAnsi"/>
                <w:sz w:val="22"/>
                <w:szCs w:val="22"/>
              </w:rPr>
              <w:t xml:space="preserve"> putting clients at risk for the use of restraints;</w:t>
            </w:r>
          </w:p>
          <w:p w14:paraId="06C7C80D"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Interprofessional collaboration;</w:t>
            </w:r>
          </w:p>
          <w:p w14:paraId="39523E64"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Knowledge of basic prevention, alternative approaches, de-escalation and crisis management;</w:t>
            </w:r>
          </w:p>
          <w:p w14:paraId="23305E7C"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Monitoring and documentation responsibilities;</w:t>
            </w:r>
          </w:p>
          <w:p w14:paraId="11A56F46"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Nurses’ responsibilities regarding self-reflection and exploring their values and beliefs surrounding the use of restraints and threats to client autonomy and human rights;</w:t>
            </w:r>
          </w:p>
          <w:p w14:paraId="12AA9B10"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Therapeutic nurse client relationships; client-</w:t>
            </w:r>
            <w:proofErr w:type="spellStart"/>
            <w:r w:rsidRPr="004B0DA9">
              <w:rPr>
                <w:rFonts w:asciiTheme="minorHAnsi" w:hAnsiTheme="minorHAnsi"/>
                <w:sz w:val="22"/>
                <w:szCs w:val="22"/>
              </w:rPr>
              <w:t>centred</w:t>
            </w:r>
            <w:proofErr w:type="spellEnd"/>
            <w:r w:rsidRPr="004B0DA9">
              <w:rPr>
                <w:rFonts w:asciiTheme="minorHAnsi" w:hAnsiTheme="minorHAnsi"/>
                <w:sz w:val="22"/>
                <w:szCs w:val="22"/>
              </w:rPr>
              <w:t xml:space="preserve"> care and client rights;</w:t>
            </w:r>
          </w:p>
          <w:p w14:paraId="360B64FE"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Types of restraints (least to most restrictive) and associated safety risks, and the potential complications from the use of restraints; and</w:t>
            </w:r>
          </w:p>
          <w:p w14:paraId="6E2E363E" w14:textId="77777777" w:rsidR="0059715D" w:rsidRPr="004B0DA9" w:rsidRDefault="0059715D" w:rsidP="0059715D">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Understanding of the legal and legislative requirements governing the use of restraints.</w:t>
            </w:r>
          </w:p>
          <w:p w14:paraId="7DE3DDC8" w14:textId="77777777" w:rsidR="0067764A" w:rsidRPr="004B0DA9" w:rsidRDefault="0059715D" w:rsidP="00C828FE">
            <w:pPr>
              <w:rPr>
                <w:rFonts w:asciiTheme="minorHAnsi" w:hAnsiTheme="minorHAnsi"/>
                <w:sz w:val="22"/>
                <w:szCs w:val="22"/>
              </w:rPr>
            </w:pPr>
            <w:r w:rsidRPr="004B0DA9">
              <w:rPr>
                <w:rFonts w:asciiTheme="minorHAnsi" w:hAnsiTheme="minorHAnsi"/>
                <w:color w:val="1F497D"/>
                <w:sz w:val="20"/>
              </w:rPr>
              <w:t xml:space="preserve">(Level </w:t>
            </w:r>
            <w:proofErr w:type="spellStart"/>
            <w:r w:rsidRPr="004B0DA9">
              <w:rPr>
                <w:rFonts w:asciiTheme="minorHAnsi" w:hAnsiTheme="minorHAnsi"/>
                <w:color w:val="1F497D"/>
                <w:sz w:val="20"/>
              </w:rPr>
              <w:t>Ib</w:t>
            </w:r>
            <w:proofErr w:type="spellEnd"/>
            <w:r w:rsidRPr="004B0DA9">
              <w:rPr>
                <w:rFonts w:asciiTheme="minorHAnsi" w:hAnsiTheme="minorHAnsi"/>
                <w:color w:val="1F497D"/>
                <w:sz w:val="20"/>
              </w:rPr>
              <w:t xml:space="preserve"> Evidence)</w:t>
            </w:r>
          </w:p>
        </w:tc>
        <w:tc>
          <w:tcPr>
            <w:tcW w:w="504" w:type="dxa"/>
            <w:tcBorders>
              <w:bottom w:val="single" w:sz="4" w:space="0" w:color="008080"/>
            </w:tcBorders>
            <w:shd w:val="clear" w:color="auto" w:fill="auto"/>
          </w:tcPr>
          <w:p w14:paraId="29C04C33" w14:textId="77777777" w:rsidR="0067764A" w:rsidRPr="004B0DA9" w:rsidRDefault="0067764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13814D2" w14:textId="77777777" w:rsidR="0067764A" w:rsidRPr="004B0DA9" w:rsidRDefault="0067764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F83A363" w14:textId="77777777" w:rsidR="0067764A" w:rsidRPr="004B0DA9" w:rsidRDefault="0067764A"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8200AC5" w14:textId="77777777" w:rsidR="0067764A" w:rsidRPr="004B0DA9" w:rsidRDefault="0067764A" w:rsidP="00E82AEE">
            <w:pPr>
              <w:ind w:left="72"/>
              <w:rPr>
                <w:rFonts w:asciiTheme="minorHAnsi" w:hAnsiTheme="minorHAnsi"/>
                <w:sz w:val="20"/>
                <w:szCs w:val="22"/>
              </w:rPr>
            </w:pPr>
          </w:p>
        </w:tc>
      </w:tr>
      <w:tr w:rsidR="00A20845" w:rsidRPr="004B0DA9" w14:paraId="0C4478FF" w14:textId="77777777" w:rsidTr="00522181">
        <w:trPr>
          <w:trHeight w:val="20"/>
          <w:jc w:val="center"/>
        </w:trPr>
        <w:tc>
          <w:tcPr>
            <w:tcW w:w="11520" w:type="dxa"/>
            <w:gridSpan w:val="5"/>
            <w:tcBorders>
              <w:bottom w:val="single" w:sz="4" w:space="0" w:color="008080"/>
            </w:tcBorders>
            <w:shd w:val="clear" w:color="auto" w:fill="DAEEF3" w:themeFill="accent5" w:themeFillTint="33"/>
          </w:tcPr>
          <w:p w14:paraId="62024601" w14:textId="77777777" w:rsidR="00A20845" w:rsidRPr="004B0DA9" w:rsidRDefault="00A20845" w:rsidP="00522181">
            <w:pPr>
              <w:rPr>
                <w:rFonts w:asciiTheme="minorHAnsi" w:hAnsiTheme="minorHAnsi"/>
                <w:b/>
                <w:color w:val="1F497D"/>
                <w:sz w:val="22"/>
              </w:rPr>
            </w:pPr>
            <w:r w:rsidRPr="004B0DA9">
              <w:rPr>
                <w:rFonts w:asciiTheme="minorHAnsi" w:hAnsiTheme="minorHAnsi"/>
                <w:b/>
                <w:color w:val="1F497D"/>
                <w:sz w:val="22"/>
              </w:rPr>
              <w:t>Organization &amp; Policy Recommendations</w:t>
            </w:r>
          </w:p>
        </w:tc>
      </w:tr>
      <w:tr w:rsidR="0067764A" w:rsidRPr="004B0DA9" w14:paraId="15439499" w14:textId="77777777" w:rsidTr="003D76C9">
        <w:trPr>
          <w:trHeight w:val="20"/>
          <w:jc w:val="center"/>
        </w:trPr>
        <w:tc>
          <w:tcPr>
            <w:tcW w:w="4950" w:type="dxa"/>
            <w:shd w:val="clear" w:color="auto" w:fill="auto"/>
          </w:tcPr>
          <w:p w14:paraId="39E27FF1" w14:textId="77777777" w:rsidR="00A20845" w:rsidRPr="005A5DFE" w:rsidRDefault="00A20845"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10 Health-care organizations should implement risk management and quality improvement strategies to enable a culture that promotes alternative approaches to the use of restraints in support of client rights and staff safety by:</w:t>
            </w:r>
          </w:p>
          <w:p w14:paraId="415307F5"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Establishing a definition of what is a restraint;</w:t>
            </w:r>
          </w:p>
          <w:p w14:paraId="29651FD1"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lastRenderedPageBreak/>
              <w:t>Developing a philosophy that promotes alternative approaches to the use of restraints;</w:t>
            </w:r>
          </w:p>
          <w:p w14:paraId="2782584A"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Establishing a restraint reduction/prevention policy;</w:t>
            </w:r>
          </w:p>
          <w:p w14:paraId="4E81CDAC"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Developing structures that allow for early identification of clients at risk of harm to self/others placing them at risk for the use of restraints;</w:t>
            </w:r>
          </w:p>
          <w:p w14:paraId="64BC2190"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Educating the client/family/SDM about the associated risks of restraint use and exploring their concepts of safety;</w:t>
            </w:r>
          </w:p>
          <w:p w14:paraId="2060889A"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Establishing a multi-component program including staff education on alternative strategies to the use of restraints;</w:t>
            </w:r>
          </w:p>
          <w:p w14:paraId="32653604"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 xml:space="preserve">Using alternative approaches, de-escalation and crisis management as the </w:t>
            </w:r>
            <w:proofErr w:type="gramStart"/>
            <w:r w:rsidRPr="004B0DA9">
              <w:rPr>
                <w:rFonts w:asciiTheme="minorHAnsi" w:hAnsiTheme="minorHAnsi"/>
                <w:sz w:val="22"/>
                <w:szCs w:val="22"/>
              </w:rPr>
              <w:t>first and second line</w:t>
            </w:r>
            <w:proofErr w:type="gramEnd"/>
            <w:r w:rsidRPr="004B0DA9">
              <w:rPr>
                <w:rFonts w:asciiTheme="minorHAnsi" w:hAnsiTheme="minorHAnsi"/>
                <w:sz w:val="22"/>
                <w:szCs w:val="22"/>
              </w:rPr>
              <w:t xml:space="preserve"> intervention strategies prior to the use of restraints as a safety measure of last resort;</w:t>
            </w:r>
          </w:p>
          <w:p w14:paraId="6FD60886"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Establishing monitoring protocols for clients and the documentation requirements for the duration of any restraining episode;</w:t>
            </w:r>
          </w:p>
          <w:p w14:paraId="0111EB0E"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Establishing communication responsibilities and debriefing procedures for client/family/SDM and the interprofessional team; and</w:t>
            </w:r>
          </w:p>
          <w:p w14:paraId="27731AA1" w14:textId="77777777" w:rsidR="00A20845" w:rsidRPr="004B0DA9" w:rsidRDefault="00A20845" w:rsidP="00A20845">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Establishing evaluation programs to monitor the rate of restraint use, the uptake of alternative approaches to the use of restraints, and the impact on client/family/SDM and interprofessional team safety.</w:t>
            </w:r>
          </w:p>
          <w:p w14:paraId="05D16238" w14:textId="77777777" w:rsidR="0067764A" w:rsidRPr="004B0DA9" w:rsidRDefault="00A20845" w:rsidP="00C828FE">
            <w:pPr>
              <w:rPr>
                <w:rFonts w:asciiTheme="minorHAnsi" w:hAnsiTheme="minorHAnsi"/>
                <w:sz w:val="22"/>
                <w:szCs w:val="22"/>
              </w:rPr>
            </w:pPr>
            <w:r w:rsidRPr="004B0DA9">
              <w:rPr>
                <w:rFonts w:asciiTheme="minorHAnsi" w:hAnsiTheme="minorHAnsi"/>
                <w:color w:val="1F497D"/>
                <w:sz w:val="20"/>
              </w:rPr>
              <w:t xml:space="preserve">(Level </w:t>
            </w:r>
            <w:proofErr w:type="spellStart"/>
            <w:r w:rsidRPr="004B0DA9">
              <w:rPr>
                <w:rFonts w:asciiTheme="minorHAnsi" w:hAnsiTheme="minorHAnsi"/>
                <w:color w:val="1F497D"/>
                <w:sz w:val="20"/>
              </w:rPr>
              <w:t>Ib</w:t>
            </w:r>
            <w:proofErr w:type="spellEnd"/>
            <w:r w:rsidRPr="004B0DA9">
              <w:rPr>
                <w:rFonts w:asciiTheme="minorHAnsi" w:hAnsiTheme="minorHAnsi"/>
                <w:color w:val="1F497D"/>
                <w:sz w:val="20"/>
              </w:rPr>
              <w:t xml:space="preserve"> Evidence)</w:t>
            </w:r>
          </w:p>
        </w:tc>
        <w:tc>
          <w:tcPr>
            <w:tcW w:w="504" w:type="dxa"/>
            <w:shd w:val="clear" w:color="auto" w:fill="auto"/>
          </w:tcPr>
          <w:p w14:paraId="4CB1A126" w14:textId="77777777" w:rsidR="0067764A" w:rsidRPr="004B0DA9" w:rsidRDefault="0067764A" w:rsidP="0059715D">
            <w:pPr>
              <w:rPr>
                <w:rFonts w:asciiTheme="minorHAnsi" w:hAnsiTheme="minorHAnsi"/>
                <w:sz w:val="20"/>
                <w:szCs w:val="22"/>
              </w:rPr>
            </w:pPr>
          </w:p>
        </w:tc>
        <w:tc>
          <w:tcPr>
            <w:tcW w:w="504" w:type="dxa"/>
            <w:shd w:val="clear" w:color="auto" w:fill="auto"/>
          </w:tcPr>
          <w:p w14:paraId="558003BC" w14:textId="77777777" w:rsidR="0067764A" w:rsidRPr="004B0DA9" w:rsidRDefault="0067764A" w:rsidP="00E82AEE">
            <w:pPr>
              <w:ind w:left="72"/>
              <w:rPr>
                <w:rFonts w:asciiTheme="minorHAnsi" w:hAnsiTheme="minorHAnsi"/>
                <w:sz w:val="20"/>
                <w:szCs w:val="22"/>
              </w:rPr>
            </w:pPr>
          </w:p>
        </w:tc>
        <w:tc>
          <w:tcPr>
            <w:tcW w:w="504" w:type="dxa"/>
            <w:shd w:val="clear" w:color="auto" w:fill="auto"/>
          </w:tcPr>
          <w:p w14:paraId="2B1C2C0C" w14:textId="77777777" w:rsidR="0067764A" w:rsidRPr="004B0DA9" w:rsidRDefault="0067764A" w:rsidP="00E82AEE">
            <w:pPr>
              <w:ind w:left="72"/>
              <w:rPr>
                <w:rFonts w:asciiTheme="minorHAnsi" w:hAnsiTheme="minorHAnsi"/>
                <w:sz w:val="20"/>
                <w:szCs w:val="22"/>
              </w:rPr>
            </w:pPr>
          </w:p>
        </w:tc>
        <w:tc>
          <w:tcPr>
            <w:tcW w:w="5058" w:type="dxa"/>
            <w:shd w:val="clear" w:color="auto" w:fill="auto"/>
          </w:tcPr>
          <w:p w14:paraId="72D29FA6" w14:textId="77777777" w:rsidR="0067764A" w:rsidRPr="004B0DA9" w:rsidRDefault="0067764A" w:rsidP="00E82AEE">
            <w:pPr>
              <w:ind w:left="72"/>
              <w:rPr>
                <w:rFonts w:asciiTheme="minorHAnsi" w:hAnsiTheme="minorHAnsi"/>
                <w:sz w:val="20"/>
                <w:szCs w:val="22"/>
              </w:rPr>
            </w:pPr>
          </w:p>
        </w:tc>
      </w:tr>
      <w:tr w:rsidR="003D76C9" w:rsidRPr="004B0DA9" w14:paraId="31C5293F" w14:textId="77777777" w:rsidTr="003D76C9">
        <w:trPr>
          <w:trHeight w:val="20"/>
          <w:jc w:val="center"/>
        </w:trPr>
        <w:tc>
          <w:tcPr>
            <w:tcW w:w="4950" w:type="dxa"/>
            <w:shd w:val="clear" w:color="auto" w:fill="auto"/>
          </w:tcPr>
          <w:p w14:paraId="5CA87DA2" w14:textId="77777777" w:rsidR="00C828FE" w:rsidRPr="005A5DFE" w:rsidRDefault="003D76C9"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11 The organization’s model of care should promote an interprofessional team approach in collaboration with the client/family/SDM that supports the use of alternative approaches and prevents the use of restraints.</w:t>
            </w:r>
            <w:r w:rsidR="00732F8A" w:rsidRPr="005A5DFE">
              <w:rPr>
                <w:rFonts w:asciiTheme="minorHAnsi" w:hAnsiTheme="minorHAnsi"/>
                <w:sz w:val="22"/>
              </w:rPr>
              <w:t xml:space="preserve">                       </w:t>
            </w:r>
          </w:p>
          <w:p w14:paraId="46E897B4" w14:textId="77777777" w:rsidR="003D76C9" w:rsidRPr="004B0DA9" w:rsidRDefault="003D76C9" w:rsidP="00C828FE">
            <w:pPr>
              <w:ind w:left="180" w:hanging="180"/>
              <w:rPr>
                <w:rFonts w:asciiTheme="minorHAnsi" w:hAnsiTheme="minorHAnsi"/>
                <w:sz w:val="22"/>
                <w:szCs w:val="22"/>
              </w:rPr>
            </w:pPr>
            <w:r w:rsidRPr="004B0DA9">
              <w:rPr>
                <w:rFonts w:asciiTheme="minorHAnsi" w:hAnsiTheme="minorHAnsi"/>
                <w:color w:val="1F497D"/>
                <w:sz w:val="20"/>
              </w:rPr>
              <w:t>(Level III Evidence)</w:t>
            </w:r>
          </w:p>
        </w:tc>
        <w:tc>
          <w:tcPr>
            <w:tcW w:w="504" w:type="dxa"/>
            <w:shd w:val="clear" w:color="auto" w:fill="auto"/>
          </w:tcPr>
          <w:p w14:paraId="6410A4C9" w14:textId="77777777" w:rsidR="003D76C9" w:rsidRPr="004B0DA9" w:rsidRDefault="003D76C9" w:rsidP="0059715D">
            <w:pPr>
              <w:rPr>
                <w:rFonts w:asciiTheme="minorHAnsi" w:hAnsiTheme="minorHAnsi"/>
                <w:sz w:val="20"/>
                <w:szCs w:val="22"/>
              </w:rPr>
            </w:pPr>
          </w:p>
        </w:tc>
        <w:tc>
          <w:tcPr>
            <w:tcW w:w="504" w:type="dxa"/>
            <w:shd w:val="clear" w:color="auto" w:fill="auto"/>
          </w:tcPr>
          <w:p w14:paraId="6D8EAF66" w14:textId="77777777" w:rsidR="003D76C9" w:rsidRPr="004B0DA9" w:rsidRDefault="003D76C9" w:rsidP="00E82AEE">
            <w:pPr>
              <w:ind w:left="72"/>
              <w:rPr>
                <w:rFonts w:asciiTheme="minorHAnsi" w:hAnsiTheme="minorHAnsi"/>
                <w:sz w:val="20"/>
                <w:szCs w:val="22"/>
              </w:rPr>
            </w:pPr>
          </w:p>
        </w:tc>
        <w:tc>
          <w:tcPr>
            <w:tcW w:w="504" w:type="dxa"/>
            <w:shd w:val="clear" w:color="auto" w:fill="auto"/>
          </w:tcPr>
          <w:p w14:paraId="15EBC9FA" w14:textId="77777777" w:rsidR="003D76C9" w:rsidRPr="004B0DA9" w:rsidRDefault="003D76C9" w:rsidP="00E82AEE">
            <w:pPr>
              <w:ind w:left="72"/>
              <w:rPr>
                <w:rFonts w:asciiTheme="minorHAnsi" w:hAnsiTheme="minorHAnsi"/>
                <w:sz w:val="20"/>
                <w:szCs w:val="22"/>
              </w:rPr>
            </w:pPr>
          </w:p>
        </w:tc>
        <w:tc>
          <w:tcPr>
            <w:tcW w:w="5058" w:type="dxa"/>
            <w:shd w:val="clear" w:color="auto" w:fill="auto"/>
          </w:tcPr>
          <w:p w14:paraId="11B04148" w14:textId="77777777" w:rsidR="003D76C9" w:rsidRPr="004B0DA9" w:rsidRDefault="003D76C9" w:rsidP="00E82AEE">
            <w:pPr>
              <w:ind w:left="72"/>
              <w:rPr>
                <w:rFonts w:asciiTheme="minorHAnsi" w:hAnsiTheme="minorHAnsi"/>
                <w:sz w:val="20"/>
                <w:szCs w:val="22"/>
              </w:rPr>
            </w:pPr>
          </w:p>
        </w:tc>
      </w:tr>
      <w:tr w:rsidR="003D76C9" w:rsidRPr="004B0DA9" w14:paraId="0EECE5D8" w14:textId="77777777" w:rsidTr="003D76C9">
        <w:trPr>
          <w:trHeight w:val="20"/>
          <w:jc w:val="center"/>
        </w:trPr>
        <w:tc>
          <w:tcPr>
            <w:tcW w:w="4950" w:type="dxa"/>
            <w:shd w:val="clear" w:color="auto" w:fill="auto"/>
          </w:tcPr>
          <w:p w14:paraId="73CC114D" w14:textId="77777777" w:rsidR="003D76C9" w:rsidRPr="005A5DFE" w:rsidRDefault="003D76C9" w:rsidP="005A5DFE">
            <w:pPr>
              <w:autoSpaceDE w:val="0"/>
              <w:autoSpaceDN w:val="0"/>
              <w:adjustRightInd w:val="0"/>
              <w:ind w:left="398" w:hanging="398"/>
              <w:rPr>
                <w:rFonts w:asciiTheme="minorHAnsi" w:hAnsiTheme="minorHAnsi"/>
                <w:sz w:val="22"/>
              </w:rPr>
            </w:pPr>
            <w:r w:rsidRPr="005A5DFE">
              <w:rPr>
                <w:rFonts w:asciiTheme="minorHAnsi" w:hAnsiTheme="minorHAnsi"/>
                <w:sz w:val="22"/>
              </w:rPr>
              <w:t xml:space="preserve">12 Nursing </w:t>
            </w:r>
            <w:r w:rsidR="00AD7D3F" w:rsidRPr="005A5DFE">
              <w:rPr>
                <w:rFonts w:asciiTheme="minorHAnsi" w:hAnsiTheme="minorHAnsi"/>
                <w:sz w:val="22"/>
              </w:rPr>
              <w:t>BPGs</w:t>
            </w:r>
            <w:r w:rsidRPr="005A5DFE">
              <w:rPr>
                <w:rFonts w:asciiTheme="minorHAnsi" w:hAnsiTheme="minorHAnsi"/>
                <w:sz w:val="22"/>
              </w:rPr>
              <w:t xml:space="preserve"> can be successfully implemented only where there </w:t>
            </w:r>
            <w:proofErr w:type="gramStart"/>
            <w:r w:rsidRPr="005A5DFE">
              <w:rPr>
                <w:rFonts w:asciiTheme="minorHAnsi" w:hAnsiTheme="minorHAnsi"/>
                <w:sz w:val="22"/>
              </w:rPr>
              <w:t>are</w:t>
            </w:r>
            <w:proofErr w:type="gramEnd"/>
            <w:r w:rsidRPr="005A5DFE">
              <w:rPr>
                <w:rFonts w:asciiTheme="minorHAnsi" w:hAnsiTheme="minorHAnsi"/>
                <w:sz w:val="22"/>
              </w:rPr>
              <w:t xml:space="preserve"> adequate planning, resources, organizational and administrative support, as well as appropriate facilitation. Organizations may wish to develop a plan for implementation that includes:</w:t>
            </w:r>
          </w:p>
          <w:p w14:paraId="76C0B8BF" w14:textId="77777777" w:rsidR="003D76C9" w:rsidRPr="004B0DA9" w:rsidRDefault="003D76C9" w:rsidP="003D76C9">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An assessment of organizational readiness and barriers to education, taking into account local circumstances.</w:t>
            </w:r>
          </w:p>
          <w:p w14:paraId="5A7C684D" w14:textId="77777777" w:rsidR="003D76C9" w:rsidRPr="004B0DA9" w:rsidRDefault="003D76C9" w:rsidP="003D76C9">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lastRenderedPageBreak/>
              <w:t>Involvement of all members (whether in a direct or indirect supportive function) who will contribute to the implementation process.</w:t>
            </w:r>
          </w:p>
          <w:p w14:paraId="71BA47FB" w14:textId="77777777" w:rsidR="003D76C9" w:rsidRPr="004B0DA9" w:rsidRDefault="003D76C9" w:rsidP="003D76C9">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Ongoing opportunities for discussion and education to reinforce the importance of best practices.</w:t>
            </w:r>
          </w:p>
          <w:p w14:paraId="12686B9C" w14:textId="77777777" w:rsidR="003D76C9" w:rsidRPr="004B0DA9" w:rsidRDefault="003D76C9" w:rsidP="003D76C9">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Dedication of a qualified individual to provide the support needed for the education and implementation process.</w:t>
            </w:r>
          </w:p>
          <w:p w14:paraId="4AF50A3A" w14:textId="77777777" w:rsidR="003D76C9" w:rsidRPr="004B0DA9" w:rsidRDefault="003D76C9" w:rsidP="003D76C9">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Ongoing opportunities for discussion and education to reinforce the importance of best practices.</w:t>
            </w:r>
          </w:p>
          <w:p w14:paraId="359622A5" w14:textId="77777777" w:rsidR="003D76C9" w:rsidRPr="004B0DA9" w:rsidRDefault="003D76C9" w:rsidP="003D76C9">
            <w:pPr>
              <w:pStyle w:val="ListParagraph"/>
              <w:numPr>
                <w:ilvl w:val="0"/>
                <w:numId w:val="10"/>
              </w:numPr>
              <w:ind w:left="360" w:hanging="180"/>
              <w:rPr>
                <w:rFonts w:asciiTheme="minorHAnsi" w:hAnsiTheme="minorHAnsi"/>
                <w:sz w:val="22"/>
                <w:szCs w:val="22"/>
              </w:rPr>
            </w:pPr>
            <w:r w:rsidRPr="004B0DA9">
              <w:rPr>
                <w:rFonts w:asciiTheme="minorHAnsi" w:hAnsiTheme="minorHAnsi"/>
                <w:sz w:val="22"/>
                <w:szCs w:val="22"/>
              </w:rPr>
              <w:t>Opportunities for reflection on personal and organizational experience in implementing guidelines.</w:t>
            </w:r>
          </w:p>
          <w:p w14:paraId="5BBBEA08" w14:textId="77777777" w:rsidR="003D76C9" w:rsidRPr="004B0DA9" w:rsidRDefault="003D76C9" w:rsidP="00C828FE">
            <w:pPr>
              <w:rPr>
                <w:rFonts w:asciiTheme="minorHAnsi" w:hAnsiTheme="minorHAnsi"/>
                <w:sz w:val="22"/>
                <w:szCs w:val="22"/>
              </w:rPr>
            </w:pPr>
            <w:r w:rsidRPr="004B0DA9">
              <w:rPr>
                <w:rFonts w:asciiTheme="minorHAnsi" w:hAnsiTheme="minorHAnsi"/>
                <w:color w:val="1F497D"/>
                <w:sz w:val="20"/>
              </w:rPr>
              <w:t>(Level IV Evidence)</w:t>
            </w:r>
          </w:p>
        </w:tc>
        <w:tc>
          <w:tcPr>
            <w:tcW w:w="504" w:type="dxa"/>
            <w:shd w:val="clear" w:color="auto" w:fill="auto"/>
          </w:tcPr>
          <w:p w14:paraId="530E29CB" w14:textId="77777777" w:rsidR="003D76C9" w:rsidRPr="004B0DA9" w:rsidRDefault="003D76C9" w:rsidP="0059715D">
            <w:pPr>
              <w:rPr>
                <w:rFonts w:asciiTheme="minorHAnsi" w:hAnsiTheme="minorHAnsi"/>
                <w:sz w:val="20"/>
                <w:szCs w:val="22"/>
              </w:rPr>
            </w:pPr>
          </w:p>
        </w:tc>
        <w:tc>
          <w:tcPr>
            <w:tcW w:w="504" w:type="dxa"/>
            <w:shd w:val="clear" w:color="auto" w:fill="auto"/>
          </w:tcPr>
          <w:p w14:paraId="6166385F" w14:textId="77777777" w:rsidR="003D76C9" w:rsidRPr="004B0DA9" w:rsidRDefault="003D76C9" w:rsidP="00E82AEE">
            <w:pPr>
              <w:ind w:left="72"/>
              <w:rPr>
                <w:rFonts w:asciiTheme="minorHAnsi" w:hAnsiTheme="minorHAnsi"/>
                <w:sz w:val="20"/>
                <w:szCs w:val="22"/>
              </w:rPr>
            </w:pPr>
          </w:p>
        </w:tc>
        <w:tc>
          <w:tcPr>
            <w:tcW w:w="504" w:type="dxa"/>
            <w:shd w:val="clear" w:color="auto" w:fill="auto"/>
          </w:tcPr>
          <w:p w14:paraId="298D765F" w14:textId="77777777" w:rsidR="003D76C9" w:rsidRPr="004B0DA9" w:rsidRDefault="003D76C9" w:rsidP="00E82AEE">
            <w:pPr>
              <w:ind w:left="72"/>
              <w:rPr>
                <w:rFonts w:asciiTheme="minorHAnsi" w:hAnsiTheme="minorHAnsi"/>
                <w:sz w:val="20"/>
                <w:szCs w:val="22"/>
              </w:rPr>
            </w:pPr>
          </w:p>
        </w:tc>
        <w:tc>
          <w:tcPr>
            <w:tcW w:w="5058" w:type="dxa"/>
            <w:shd w:val="clear" w:color="auto" w:fill="auto"/>
          </w:tcPr>
          <w:p w14:paraId="3302D688" w14:textId="77777777" w:rsidR="003D76C9" w:rsidRPr="004B0DA9" w:rsidRDefault="003D76C9" w:rsidP="00E82AEE">
            <w:pPr>
              <w:ind w:left="72"/>
              <w:rPr>
                <w:rFonts w:asciiTheme="minorHAnsi" w:hAnsiTheme="minorHAnsi"/>
                <w:sz w:val="20"/>
                <w:szCs w:val="22"/>
              </w:rPr>
            </w:pPr>
          </w:p>
        </w:tc>
      </w:tr>
    </w:tbl>
    <w:p w14:paraId="313A390E" w14:textId="77777777" w:rsidR="00DC3AA4" w:rsidRDefault="00DC3AA4" w:rsidP="00AD7D3F">
      <w:pPr>
        <w:tabs>
          <w:tab w:val="left" w:pos="4692"/>
        </w:tabs>
        <w:jc w:val="center"/>
        <w:rPr>
          <w:rFonts w:asciiTheme="minorHAnsi" w:hAnsiTheme="minorHAnsi"/>
          <w:b/>
          <w:sz w:val="28"/>
        </w:rPr>
      </w:pPr>
    </w:p>
    <w:p w14:paraId="4F0B982B" w14:textId="57A638FA" w:rsidR="00AD7D3F" w:rsidRPr="000B1632" w:rsidRDefault="00DC3AA4" w:rsidP="000B1632">
      <w:pPr>
        <w:rPr>
          <w:rFonts w:asciiTheme="minorHAnsi" w:hAnsiTheme="minorHAnsi"/>
          <w:b/>
          <w:sz w:val="28"/>
        </w:rPr>
      </w:pPr>
      <w:r>
        <w:rPr>
          <w:rFonts w:asciiTheme="minorHAnsi" w:hAnsiTheme="minorHAnsi"/>
          <w:b/>
          <w:sz w:val="28"/>
        </w:rPr>
        <w:br w:type="page"/>
      </w:r>
    </w:p>
    <w:p w14:paraId="0AD97886" w14:textId="77777777" w:rsidR="00AD7D3F" w:rsidRPr="004B0DA9" w:rsidRDefault="00AD7D3F" w:rsidP="00AD7D3F">
      <w:pPr>
        <w:tabs>
          <w:tab w:val="left" w:pos="4692"/>
        </w:tabs>
        <w:spacing w:after="120"/>
        <w:jc w:val="center"/>
        <w:rPr>
          <w:rFonts w:asciiTheme="minorHAnsi" w:hAnsiTheme="minorHAnsi"/>
        </w:rPr>
      </w:pPr>
    </w:p>
    <w:p w14:paraId="53F16A6B" w14:textId="77777777" w:rsidR="001332EA" w:rsidRPr="004B0DA9" w:rsidRDefault="001332EA" w:rsidP="00537610">
      <w:pPr>
        <w:tabs>
          <w:tab w:val="left" w:pos="4692"/>
        </w:tabs>
        <w:spacing w:before="120"/>
        <w:jc w:val="center"/>
        <w:rPr>
          <w:rFonts w:asciiTheme="minorHAnsi" w:hAnsiTheme="minorHAnsi"/>
          <w:sz w:val="4"/>
          <w:szCs w:val="4"/>
        </w:rPr>
      </w:pPr>
    </w:p>
    <w:sectPr w:rsidR="001332EA" w:rsidRPr="004B0DA9" w:rsidSect="004B0DA9">
      <w:headerReference w:type="default" r:id="rId17"/>
      <w:headerReference w:type="first" r:id="rId18"/>
      <w:footerReference w:type="first" r:id="rId19"/>
      <w:pgSz w:w="12240" w:h="15840"/>
      <w:pgMar w:top="720" w:right="1008" w:bottom="720" w:left="1008"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AD9C3" w14:textId="77777777" w:rsidR="00027913" w:rsidRDefault="00027913" w:rsidP="000258AA">
      <w:r>
        <w:separator/>
      </w:r>
    </w:p>
  </w:endnote>
  <w:endnote w:type="continuationSeparator" w:id="0">
    <w:p w14:paraId="7A9D22E0" w14:textId="77777777" w:rsidR="00027913" w:rsidRDefault="00027913"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3424" w14:textId="77777777" w:rsidR="0084766D" w:rsidRPr="004B0DA9" w:rsidRDefault="005A5DF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March 2017</w:t>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t xml:space="preserve">Page </w:t>
    </w:r>
    <w:r w:rsidR="00710E34" w:rsidRPr="004B0DA9">
      <w:rPr>
        <w:rFonts w:asciiTheme="minorHAnsi" w:hAnsiTheme="minorHAnsi"/>
        <w:i/>
        <w:color w:val="006A65"/>
        <w:sz w:val="20"/>
      </w:rPr>
      <w:fldChar w:fldCharType="begin"/>
    </w:r>
    <w:r w:rsidR="0084766D" w:rsidRPr="004B0DA9">
      <w:rPr>
        <w:rFonts w:asciiTheme="minorHAnsi" w:hAnsiTheme="minorHAnsi"/>
        <w:i/>
        <w:color w:val="006A65"/>
        <w:sz w:val="20"/>
      </w:rPr>
      <w:instrText xml:space="preserve"> PAGE </w:instrText>
    </w:r>
    <w:r w:rsidR="00710E34" w:rsidRPr="004B0DA9">
      <w:rPr>
        <w:rFonts w:asciiTheme="minorHAnsi" w:hAnsiTheme="minorHAnsi"/>
        <w:i/>
        <w:color w:val="006A65"/>
        <w:sz w:val="20"/>
      </w:rPr>
      <w:fldChar w:fldCharType="separate"/>
    </w:r>
    <w:r>
      <w:rPr>
        <w:rFonts w:asciiTheme="minorHAnsi" w:hAnsiTheme="minorHAnsi"/>
        <w:i/>
        <w:noProof/>
        <w:color w:val="006A65"/>
        <w:sz w:val="20"/>
      </w:rPr>
      <w:t>6</w:t>
    </w:r>
    <w:r w:rsidR="00710E34" w:rsidRPr="004B0DA9">
      <w:rPr>
        <w:rFonts w:asciiTheme="minorHAnsi" w:hAnsiTheme="minorHAnsi"/>
        <w:i/>
        <w:color w:val="006A65"/>
        <w:sz w:val="20"/>
      </w:rPr>
      <w:fldChar w:fldCharType="end"/>
    </w:r>
    <w:r w:rsidR="0084766D" w:rsidRPr="004B0DA9">
      <w:rPr>
        <w:rFonts w:asciiTheme="minorHAnsi" w:hAnsiTheme="minorHAnsi"/>
        <w:i/>
        <w:color w:val="006A65"/>
        <w:sz w:val="20"/>
      </w:rPr>
      <w:t xml:space="preserve"> of </w:t>
    </w:r>
    <w:r w:rsidR="00710E34" w:rsidRPr="004B0DA9">
      <w:rPr>
        <w:rFonts w:asciiTheme="minorHAnsi" w:hAnsiTheme="minorHAnsi"/>
        <w:i/>
        <w:color w:val="006A65"/>
        <w:sz w:val="20"/>
      </w:rPr>
      <w:fldChar w:fldCharType="begin"/>
    </w:r>
    <w:r w:rsidR="0084766D" w:rsidRPr="004B0DA9">
      <w:rPr>
        <w:rFonts w:asciiTheme="minorHAnsi" w:hAnsiTheme="minorHAnsi"/>
        <w:i/>
        <w:color w:val="006A65"/>
        <w:sz w:val="20"/>
      </w:rPr>
      <w:instrText xml:space="preserve"> NUMPAGES  </w:instrText>
    </w:r>
    <w:r w:rsidR="00710E34" w:rsidRPr="004B0DA9">
      <w:rPr>
        <w:rFonts w:asciiTheme="minorHAnsi" w:hAnsiTheme="minorHAnsi"/>
        <w:i/>
        <w:color w:val="006A65"/>
        <w:sz w:val="20"/>
      </w:rPr>
      <w:fldChar w:fldCharType="separate"/>
    </w:r>
    <w:r>
      <w:rPr>
        <w:rFonts w:asciiTheme="minorHAnsi" w:hAnsiTheme="minorHAnsi"/>
        <w:i/>
        <w:noProof/>
        <w:color w:val="006A65"/>
        <w:sz w:val="20"/>
      </w:rPr>
      <w:t>9</w:t>
    </w:r>
    <w:r w:rsidR="00710E34" w:rsidRPr="004B0DA9">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BD00" w14:textId="77777777" w:rsidR="0084766D" w:rsidRPr="004B0DA9" w:rsidRDefault="00C828F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w:t>
    </w:r>
    <w:r w:rsidR="005A5DFE">
      <w:rPr>
        <w:rFonts w:asciiTheme="minorHAnsi" w:hAnsiTheme="minorHAnsi"/>
        <w:i/>
        <w:color w:val="006A65"/>
        <w:sz w:val="20"/>
      </w:rPr>
      <w:t>March 2017</w:t>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r>
    <w:r w:rsidR="0084766D" w:rsidRPr="004B0DA9">
      <w:rPr>
        <w:rFonts w:asciiTheme="minorHAnsi" w:hAnsiTheme="minorHAnsi"/>
        <w:i/>
        <w:color w:val="006A65"/>
        <w:sz w:val="20"/>
      </w:rPr>
      <w:tab/>
      <w:t xml:space="preserve">Page </w:t>
    </w:r>
    <w:r w:rsidR="00710E34" w:rsidRPr="004B0DA9">
      <w:rPr>
        <w:rFonts w:asciiTheme="minorHAnsi" w:hAnsiTheme="minorHAnsi"/>
        <w:i/>
        <w:color w:val="006A65"/>
        <w:sz w:val="20"/>
      </w:rPr>
      <w:fldChar w:fldCharType="begin"/>
    </w:r>
    <w:r w:rsidR="0084766D" w:rsidRPr="004B0DA9">
      <w:rPr>
        <w:rFonts w:asciiTheme="minorHAnsi" w:hAnsiTheme="minorHAnsi"/>
        <w:i/>
        <w:color w:val="006A65"/>
        <w:sz w:val="20"/>
      </w:rPr>
      <w:instrText xml:space="preserve"> PAGE </w:instrText>
    </w:r>
    <w:r w:rsidR="00710E34" w:rsidRPr="004B0DA9">
      <w:rPr>
        <w:rFonts w:asciiTheme="minorHAnsi" w:hAnsiTheme="minorHAnsi"/>
        <w:i/>
        <w:color w:val="006A65"/>
        <w:sz w:val="20"/>
      </w:rPr>
      <w:fldChar w:fldCharType="separate"/>
    </w:r>
    <w:r w:rsidR="005A5DFE">
      <w:rPr>
        <w:rFonts w:asciiTheme="minorHAnsi" w:hAnsiTheme="minorHAnsi"/>
        <w:i/>
        <w:noProof/>
        <w:color w:val="006A65"/>
        <w:sz w:val="20"/>
      </w:rPr>
      <w:t>2</w:t>
    </w:r>
    <w:r w:rsidR="00710E34" w:rsidRPr="004B0DA9">
      <w:rPr>
        <w:rFonts w:asciiTheme="minorHAnsi" w:hAnsiTheme="minorHAnsi"/>
        <w:i/>
        <w:color w:val="006A65"/>
        <w:sz w:val="20"/>
      </w:rPr>
      <w:fldChar w:fldCharType="end"/>
    </w:r>
    <w:r w:rsidR="0084766D" w:rsidRPr="004B0DA9">
      <w:rPr>
        <w:rFonts w:asciiTheme="minorHAnsi" w:hAnsiTheme="minorHAnsi"/>
        <w:i/>
        <w:color w:val="006A65"/>
        <w:sz w:val="20"/>
      </w:rPr>
      <w:t xml:space="preserve"> of </w:t>
    </w:r>
    <w:r w:rsidR="00710E34" w:rsidRPr="004B0DA9">
      <w:rPr>
        <w:rFonts w:asciiTheme="minorHAnsi" w:hAnsiTheme="minorHAnsi"/>
        <w:i/>
        <w:color w:val="006A65"/>
        <w:sz w:val="20"/>
      </w:rPr>
      <w:fldChar w:fldCharType="begin"/>
    </w:r>
    <w:r w:rsidR="0084766D" w:rsidRPr="004B0DA9">
      <w:rPr>
        <w:rFonts w:asciiTheme="minorHAnsi" w:hAnsiTheme="minorHAnsi"/>
        <w:i/>
        <w:color w:val="006A65"/>
        <w:sz w:val="20"/>
      </w:rPr>
      <w:instrText xml:space="preserve"> NUMPAGES  </w:instrText>
    </w:r>
    <w:r w:rsidR="00710E34" w:rsidRPr="004B0DA9">
      <w:rPr>
        <w:rFonts w:asciiTheme="minorHAnsi" w:hAnsiTheme="minorHAnsi"/>
        <w:i/>
        <w:color w:val="006A65"/>
        <w:sz w:val="20"/>
      </w:rPr>
      <w:fldChar w:fldCharType="separate"/>
    </w:r>
    <w:r w:rsidR="005A5DFE">
      <w:rPr>
        <w:rFonts w:asciiTheme="minorHAnsi" w:hAnsiTheme="minorHAnsi"/>
        <w:i/>
        <w:noProof/>
        <w:color w:val="006A65"/>
        <w:sz w:val="20"/>
      </w:rPr>
      <w:t>9</w:t>
    </w:r>
    <w:r w:rsidR="00710E34" w:rsidRPr="004B0DA9">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D9EC5" w14:textId="77777777" w:rsidR="00027913" w:rsidRDefault="00027913" w:rsidP="000258AA">
      <w:r>
        <w:separator/>
      </w:r>
    </w:p>
  </w:footnote>
  <w:footnote w:type="continuationSeparator" w:id="0">
    <w:p w14:paraId="184D73B0" w14:textId="77777777" w:rsidR="00027913" w:rsidRDefault="00027913"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A2DA" w14:textId="6169FCDD" w:rsidR="0084766D" w:rsidRPr="00E76564" w:rsidRDefault="000B1632"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2847E5A7" wp14:editId="7407919C">
              <wp:simplePos x="0" y="0"/>
              <wp:positionH relativeFrom="margin">
                <wp:align>center</wp:align>
              </wp:positionH>
              <wp:positionV relativeFrom="margin">
                <wp:align>center</wp:align>
              </wp:positionV>
              <wp:extent cx="5237480" cy="3142615"/>
              <wp:effectExtent l="0" t="1143000" r="0" b="65786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AA231" w14:textId="77777777" w:rsidR="000B1632" w:rsidRDefault="000B1632" w:rsidP="000B163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47E5A7" id="_x0000_t202" coordsize="21600,21600" o:spt="202" path="m,l,21600r21600,l21600,xe">
              <v:stroke joinstyle="miter"/>
              <v:path gradientshapeok="t" o:connecttype="rect"/>
            </v:shapetype>
            <v:shape id="WordArt 5" o:spid="_x0000_s1026"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FFAA231" w14:textId="77777777" w:rsidR="000B1632" w:rsidRDefault="000B1632" w:rsidP="000B163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84766D" w:rsidRPr="00E76564">
      <w:rPr>
        <w:b/>
        <w:color w:val="003366"/>
        <w:szCs w:val="36"/>
      </w:rPr>
      <w:t>Gap Analysis</w:t>
    </w:r>
    <w:r w:rsidR="0084766D">
      <w:rPr>
        <w:b/>
        <w:color w:val="003366"/>
        <w:szCs w:val="36"/>
      </w:rPr>
      <w:t xml:space="preserve"> </w:t>
    </w:r>
    <w:r w:rsidR="0084766D" w:rsidRPr="00E76564">
      <w:rPr>
        <w:b/>
        <w:color w:val="003366"/>
        <w:szCs w:val="36"/>
      </w:rPr>
      <w:t>Work</w:t>
    </w:r>
    <w:r w:rsidR="0084766D">
      <w:rPr>
        <w:b/>
        <w:color w:val="003366"/>
        <w:szCs w:val="36"/>
      </w:rPr>
      <w:t xml:space="preserve"> Sheet</w:t>
    </w:r>
  </w:p>
  <w:p w14:paraId="73E63885" w14:textId="77777777" w:rsidR="0084766D" w:rsidRPr="00615149" w:rsidRDefault="0084766D" w:rsidP="00615149">
    <w:pPr>
      <w:jc w:val="center"/>
      <w:rPr>
        <w:b/>
        <w:color w:val="003366"/>
        <w:szCs w:val="36"/>
      </w:rPr>
    </w:pPr>
    <w:r w:rsidRPr="00615149">
      <w:rPr>
        <w:b/>
        <w:color w:val="003366"/>
        <w:szCs w:val="36"/>
      </w:rPr>
      <w:t>Prevention of Constipation in the Older Adult – Revised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1861" w14:textId="77777777" w:rsidR="00DF448B" w:rsidRPr="004B0DA9" w:rsidRDefault="00C828FE" w:rsidP="00DF448B">
    <w:pPr>
      <w:jc w:val="center"/>
      <w:rPr>
        <w:rFonts w:asciiTheme="minorHAnsi" w:hAnsiTheme="minorHAnsi"/>
        <w:b/>
        <w:color w:val="003366"/>
        <w:szCs w:val="36"/>
      </w:rPr>
    </w:pPr>
    <w:r>
      <w:rPr>
        <w:rFonts w:asciiTheme="minorHAnsi" w:hAnsiTheme="minorHAnsi"/>
        <w:b/>
        <w:color w:val="003366"/>
        <w:szCs w:val="36"/>
      </w:rPr>
      <w:t xml:space="preserve">Gap Analysis - </w:t>
    </w:r>
    <w:r w:rsidR="00DF448B" w:rsidRPr="00C828FE">
      <w:rPr>
        <w:rFonts w:asciiTheme="minorHAnsi" w:hAnsiTheme="minorHAnsi"/>
        <w:b/>
        <w:i/>
        <w:color w:val="003366"/>
        <w:szCs w:val="36"/>
      </w:rPr>
      <w:t>Promoting Safety: Alternative Approaches to the Use of Restraints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D0BD" w14:textId="77777777" w:rsidR="0084766D" w:rsidRPr="004B0DA9" w:rsidRDefault="0084766D" w:rsidP="004B0DA9">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74BF"/>
    <w:multiLevelType w:val="hybridMultilevel"/>
    <w:tmpl w:val="221298A6"/>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2B70340"/>
    <w:multiLevelType w:val="hybridMultilevel"/>
    <w:tmpl w:val="B7A0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4C54A6"/>
    <w:multiLevelType w:val="hybridMultilevel"/>
    <w:tmpl w:val="A440CD5C"/>
    <w:lvl w:ilvl="0" w:tplc="10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44018520">
    <w:abstractNumId w:val="3"/>
  </w:num>
  <w:num w:numId="2" w16cid:durableId="27145404">
    <w:abstractNumId w:val="8"/>
  </w:num>
  <w:num w:numId="3" w16cid:durableId="803890406">
    <w:abstractNumId w:val="1"/>
  </w:num>
  <w:num w:numId="4" w16cid:durableId="2114787399">
    <w:abstractNumId w:val="2"/>
  </w:num>
  <w:num w:numId="5" w16cid:durableId="635141030">
    <w:abstractNumId w:val="7"/>
  </w:num>
  <w:num w:numId="6" w16cid:durableId="1078091889">
    <w:abstractNumId w:val="5"/>
  </w:num>
  <w:num w:numId="7" w16cid:durableId="1421367160">
    <w:abstractNumId w:val="6"/>
  </w:num>
  <w:num w:numId="8" w16cid:durableId="1674450862">
    <w:abstractNumId w:val="4"/>
  </w:num>
  <w:num w:numId="9" w16cid:durableId="296885879">
    <w:abstractNumId w:val="9"/>
  </w:num>
  <w:num w:numId="10" w16cid:durableId="803162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27913"/>
    <w:rsid w:val="000370C2"/>
    <w:rsid w:val="00084324"/>
    <w:rsid w:val="000A04C5"/>
    <w:rsid w:val="000A3E49"/>
    <w:rsid w:val="000B1632"/>
    <w:rsid w:val="000B5B39"/>
    <w:rsid w:val="000C2CA8"/>
    <w:rsid w:val="000C7254"/>
    <w:rsid w:val="000D7599"/>
    <w:rsid w:val="000F6FD0"/>
    <w:rsid w:val="00113891"/>
    <w:rsid w:val="0011784B"/>
    <w:rsid w:val="001332EA"/>
    <w:rsid w:val="00134957"/>
    <w:rsid w:val="001466CE"/>
    <w:rsid w:val="00146C93"/>
    <w:rsid w:val="00155594"/>
    <w:rsid w:val="00160EE4"/>
    <w:rsid w:val="00185D43"/>
    <w:rsid w:val="001A717A"/>
    <w:rsid w:val="001E43D5"/>
    <w:rsid w:val="001E663B"/>
    <w:rsid w:val="001F1E41"/>
    <w:rsid w:val="001F26B9"/>
    <w:rsid w:val="00216BD6"/>
    <w:rsid w:val="00231249"/>
    <w:rsid w:val="002560CC"/>
    <w:rsid w:val="00265FB2"/>
    <w:rsid w:val="00274CA2"/>
    <w:rsid w:val="00283305"/>
    <w:rsid w:val="002C2B30"/>
    <w:rsid w:val="002C5560"/>
    <w:rsid w:val="0030475F"/>
    <w:rsid w:val="00345BF2"/>
    <w:rsid w:val="003746C3"/>
    <w:rsid w:val="00396AA6"/>
    <w:rsid w:val="003979FA"/>
    <w:rsid w:val="003A29E9"/>
    <w:rsid w:val="003A3CDA"/>
    <w:rsid w:val="003B0E6C"/>
    <w:rsid w:val="003D76C9"/>
    <w:rsid w:val="003E3777"/>
    <w:rsid w:val="003F5E96"/>
    <w:rsid w:val="00407FCC"/>
    <w:rsid w:val="00417700"/>
    <w:rsid w:val="00434872"/>
    <w:rsid w:val="0043766A"/>
    <w:rsid w:val="00442F20"/>
    <w:rsid w:val="00454814"/>
    <w:rsid w:val="00474D0F"/>
    <w:rsid w:val="00490E1B"/>
    <w:rsid w:val="004B0DA9"/>
    <w:rsid w:val="004D6C65"/>
    <w:rsid w:val="004E0B29"/>
    <w:rsid w:val="004E1118"/>
    <w:rsid w:val="00522181"/>
    <w:rsid w:val="0053299C"/>
    <w:rsid w:val="00537610"/>
    <w:rsid w:val="00544786"/>
    <w:rsid w:val="00556345"/>
    <w:rsid w:val="00587B0F"/>
    <w:rsid w:val="0059644D"/>
    <w:rsid w:val="0059715D"/>
    <w:rsid w:val="005976C2"/>
    <w:rsid w:val="005A5DFE"/>
    <w:rsid w:val="005B38CF"/>
    <w:rsid w:val="005D1E72"/>
    <w:rsid w:val="006055ED"/>
    <w:rsid w:val="00615149"/>
    <w:rsid w:val="00634211"/>
    <w:rsid w:val="006432B4"/>
    <w:rsid w:val="006444B4"/>
    <w:rsid w:val="00652172"/>
    <w:rsid w:val="00653D98"/>
    <w:rsid w:val="00660793"/>
    <w:rsid w:val="00664F48"/>
    <w:rsid w:val="0067764A"/>
    <w:rsid w:val="006C47B5"/>
    <w:rsid w:val="006C4D6D"/>
    <w:rsid w:val="006E7FB1"/>
    <w:rsid w:val="00710E34"/>
    <w:rsid w:val="00732F8A"/>
    <w:rsid w:val="007600D0"/>
    <w:rsid w:val="00761CBF"/>
    <w:rsid w:val="00762872"/>
    <w:rsid w:val="00776255"/>
    <w:rsid w:val="00796EE6"/>
    <w:rsid w:val="007D171B"/>
    <w:rsid w:val="007D1C17"/>
    <w:rsid w:val="007D3301"/>
    <w:rsid w:val="007E01C6"/>
    <w:rsid w:val="007F3387"/>
    <w:rsid w:val="00801400"/>
    <w:rsid w:val="00830EE5"/>
    <w:rsid w:val="0084766D"/>
    <w:rsid w:val="00862016"/>
    <w:rsid w:val="008670AC"/>
    <w:rsid w:val="008819FE"/>
    <w:rsid w:val="00884571"/>
    <w:rsid w:val="008C13B6"/>
    <w:rsid w:val="008E7A47"/>
    <w:rsid w:val="009124F5"/>
    <w:rsid w:val="009473E4"/>
    <w:rsid w:val="00951C21"/>
    <w:rsid w:val="009541AE"/>
    <w:rsid w:val="009634CC"/>
    <w:rsid w:val="009763AB"/>
    <w:rsid w:val="009858B8"/>
    <w:rsid w:val="009937CB"/>
    <w:rsid w:val="00995B62"/>
    <w:rsid w:val="009B4C17"/>
    <w:rsid w:val="009B67DA"/>
    <w:rsid w:val="009D05B6"/>
    <w:rsid w:val="009E069D"/>
    <w:rsid w:val="009E6EC8"/>
    <w:rsid w:val="009F78A6"/>
    <w:rsid w:val="00A10D6E"/>
    <w:rsid w:val="00A20845"/>
    <w:rsid w:val="00A41612"/>
    <w:rsid w:val="00A769EF"/>
    <w:rsid w:val="00A86E49"/>
    <w:rsid w:val="00A87ACA"/>
    <w:rsid w:val="00A9422C"/>
    <w:rsid w:val="00AA3C07"/>
    <w:rsid w:val="00AB1795"/>
    <w:rsid w:val="00AD7D3F"/>
    <w:rsid w:val="00AE041F"/>
    <w:rsid w:val="00AF7C44"/>
    <w:rsid w:val="00B05989"/>
    <w:rsid w:val="00B106E8"/>
    <w:rsid w:val="00B10A2E"/>
    <w:rsid w:val="00B429E2"/>
    <w:rsid w:val="00B50338"/>
    <w:rsid w:val="00B638EC"/>
    <w:rsid w:val="00B77EF9"/>
    <w:rsid w:val="00B9581B"/>
    <w:rsid w:val="00B959F6"/>
    <w:rsid w:val="00B9727C"/>
    <w:rsid w:val="00BC4A2E"/>
    <w:rsid w:val="00BF257F"/>
    <w:rsid w:val="00C00D03"/>
    <w:rsid w:val="00C2452C"/>
    <w:rsid w:val="00C25E20"/>
    <w:rsid w:val="00C7304B"/>
    <w:rsid w:val="00C74998"/>
    <w:rsid w:val="00C828FE"/>
    <w:rsid w:val="00CA01D6"/>
    <w:rsid w:val="00CA5313"/>
    <w:rsid w:val="00CC4975"/>
    <w:rsid w:val="00CE5E7B"/>
    <w:rsid w:val="00D12ACF"/>
    <w:rsid w:val="00D142A4"/>
    <w:rsid w:val="00D33080"/>
    <w:rsid w:val="00D44E38"/>
    <w:rsid w:val="00D47417"/>
    <w:rsid w:val="00D63A18"/>
    <w:rsid w:val="00D830D0"/>
    <w:rsid w:val="00D84AE7"/>
    <w:rsid w:val="00D91359"/>
    <w:rsid w:val="00DB3E78"/>
    <w:rsid w:val="00DB6167"/>
    <w:rsid w:val="00DC1CC6"/>
    <w:rsid w:val="00DC3AA4"/>
    <w:rsid w:val="00DE0F2F"/>
    <w:rsid w:val="00DE3925"/>
    <w:rsid w:val="00DE4943"/>
    <w:rsid w:val="00DE7C20"/>
    <w:rsid w:val="00DF1463"/>
    <w:rsid w:val="00DF1E3F"/>
    <w:rsid w:val="00DF448B"/>
    <w:rsid w:val="00E05470"/>
    <w:rsid w:val="00E07744"/>
    <w:rsid w:val="00E12E1F"/>
    <w:rsid w:val="00E46C84"/>
    <w:rsid w:val="00E47D20"/>
    <w:rsid w:val="00E5093F"/>
    <w:rsid w:val="00E76564"/>
    <w:rsid w:val="00E82AEE"/>
    <w:rsid w:val="00E87525"/>
    <w:rsid w:val="00E96AEE"/>
    <w:rsid w:val="00EA0EF8"/>
    <w:rsid w:val="00EE0CFE"/>
    <w:rsid w:val="00EF0BAC"/>
    <w:rsid w:val="00EF28F6"/>
    <w:rsid w:val="00F14D66"/>
    <w:rsid w:val="00F156CD"/>
    <w:rsid w:val="00F36AA8"/>
    <w:rsid w:val="00F374DE"/>
    <w:rsid w:val="00F570EF"/>
    <w:rsid w:val="00F744A8"/>
    <w:rsid w:val="00F869C3"/>
    <w:rsid w:val="00F96B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BA1A"/>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ontario.ca/laws/regulation/r2224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ontario.ca/laws/statute/21f39" TargetMode="External"/><Relationship Id="rId10" Type="http://schemas.openxmlformats.org/officeDocument/2006/relationships/hyperlink" Target="https://rnao.ca/leading-change-toolki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nao.ca/bpg/guidelines/promoting-safety-alternative-approaches-use-restraints"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6963</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2022-07-25T18:58:00Z</dcterms:created>
  <dcterms:modified xsi:type="dcterms:W3CDTF">2022-07-25T18:58:00Z</dcterms:modified>
</cp:coreProperties>
</file>